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2C0" w:rsidRPr="001B1443" w:rsidRDefault="000302C0" w:rsidP="000302C0">
      <w:pPr>
        <w:keepNext/>
        <w:widowControl w:val="0"/>
        <w:tabs>
          <w:tab w:val="left" w:pos="0"/>
        </w:tabs>
        <w:suppressAutoHyphens/>
        <w:spacing w:before="240" w:after="120"/>
        <w:ind w:right="-709"/>
        <w:jc w:val="center"/>
        <w:outlineLvl w:val="0"/>
        <w:rPr>
          <w:b/>
          <w:sz w:val="28"/>
          <w:szCs w:val="28"/>
        </w:rPr>
      </w:pPr>
      <w:r w:rsidRPr="001B1443">
        <w:rPr>
          <w:b/>
          <w:sz w:val="28"/>
          <w:szCs w:val="28"/>
        </w:rPr>
        <w:t>D – 05.03.01</w:t>
      </w:r>
    </w:p>
    <w:p w:rsidR="000302C0" w:rsidRPr="001B1443" w:rsidRDefault="000302C0" w:rsidP="000302C0">
      <w:pPr>
        <w:keepNext/>
        <w:widowControl w:val="0"/>
        <w:tabs>
          <w:tab w:val="left" w:pos="0"/>
        </w:tabs>
        <w:suppressAutoHyphens/>
        <w:spacing w:before="240" w:after="120"/>
        <w:ind w:right="-709"/>
        <w:jc w:val="center"/>
        <w:outlineLvl w:val="0"/>
        <w:rPr>
          <w:b/>
          <w:sz w:val="28"/>
          <w:szCs w:val="28"/>
        </w:rPr>
      </w:pPr>
      <w:r w:rsidRPr="001B1443">
        <w:rPr>
          <w:b/>
          <w:sz w:val="28"/>
          <w:szCs w:val="28"/>
        </w:rPr>
        <w:t>NAWIERZCHNIA Z KOSTKI KAMIENNEJ</w:t>
      </w:r>
    </w:p>
    <w:p w:rsidR="000302C0" w:rsidRDefault="000302C0" w:rsidP="000302C0">
      <w:pPr>
        <w:keepNext/>
        <w:keepLines/>
        <w:suppressAutoHyphens/>
        <w:spacing w:before="120" w:after="120"/>
        <w:ind w:right="-709"/>
        <w:outlineLvl w:val="0"/>
        <w:rPr>
          <w:b/>
          <w:caps/>
          <w:kern w:val="28"/>
        </w:rPr>
      </w:pPr>
    </w:p>
    <w:p w:rsidR="000302C0" w:rsidRDefault="000302C0" w:rsidP="000302C0">
      <w:pPr>
        <w:keepNext/>
        <w:keepLines/>
        <w:suppressAutoHyphens/>
        <w:spacing w:before="120" w:after="120"/>
        <w:ind w:right="-709"/>
        <w:outlineLvl w:val="0"/>
        <w:rPr>
          <w:b/>
          <w:caps/>
          <w:kern w:val="28"/>
        </w:rPr>
      </w:pPr>
    </w:p>
    <w:p w:rsidR="000302C0" w:rsidRPr="00126721" w:rsidRDefault="000302C0" w:rsidP="000302C0">
      <w:pPr>
        <w:keepNext/>
        <w:keepLines/>
        <w:suppressAutoHyphens/>
        <w:spacing w:before="120" w:after="120"/>
        <w:ind w:right="-709"/>
        <w:outlineLvl w:val="0"/>
        <w:rPr>
          <w:b/>
          <w:caps/>
          <w:kern w:val="28"/>
        </w:rPr>
      </w:pPr>
      <w:r w:rsidRPr="00126721">
        <w:rPr>
          <w:b/>
          <w:caps/>
          <w:kern w:val="28"/>
        </w:rPr>
        <w:t>1. WSTĘP</w:t>
      </w:r>
    </w:p>
    <w:p w:rsidR="000302C0" w:rsidRPr="00126721" w:rsidRDefault="000302C0" w:rsidP="000302C0">
      <w:pPr>
        <w:keepNext/>
        <w:spacing w:before="120" w:after="120"/>
        <w:ind w:right="-709"/>
        <w:outlineLvl w:val="1"/>
        <w:rPr>
          <w:b/>
        </w:rPr>
      </w:pPr>
      <w:bookmarkStart w:id="0" w:name="_Toc266956736"/>
      <w:bookmarkStart w:id="1" w:name="_Toc266958410"/>
      <w:r>
        <w:rPr>
          <w:b/>
        </w:rPr>
        <w:t xml:space="preserve">1.1. Przedmiot </w:t>
      </w:r>
      <w:r w:rsidRPr="00126721">
        <w:rPr>
          <w:b/>
        </w:rPr>
        <w:t>ST</w:t>
      </w:r>
      <w:bookmarkEnd w:id="0"/>
      <w:bookmarkEnd w:id="1"/>
    </w:p>
    <w:p w:rsidR="006D0EF2" w:rsidRDefault="000302C0" w:rsidP="006D0EF2">
      <w:pPr>
        <w:rPr>
          <w:color w:val="000000"/>
        </w:rPr>
      </w:pPr>
      <w:r w:rsidRPr="00126721">
        <w:t xml:space="preserve">Przedmiotem niniejszej </w:t>
      </w:r>
      <w:r>
        <w:t>specyfikacji technicznej (</w:t>
      </w:r>
      <w:r w:rsidRPr="00126721">
        <w:t xml:space="preserve">ST) są wymagania dotyczące wykonania </w:t>
      </w:r>
      <w:r w:rsidRPr="00126721">
        <w:br/>
        <w:t>i odbioru robót związanych z wykonywaniem</w:t>
      </w:r>
      <w:bookmarkStart w:id="2" w:name="_Toc266956737"/>
      <w:bookmarkStart w:id="3" w:name="_Toc266958411"/>
      <w:r w:rsidR="00234A94">
        <w:t xml:space="preserve"> nawierzchni z kostki kamiennej</w:t>
      </w:r>
      <w:r w:rsidR="006D0EF2">
        <w:rPr>
          <w:b/>
          <w:color w:val="000000"/>
        </w:rPr>
        <w:t>.</w:t>
      </w:r>
    </w:p>
    <w:p w:rsidR="000302C0" w:rsidRDefault="000302C0" w:rsidP="000302C0">
      <w:pPr>
        <w:ind w:right="-709"/>
        <w:rPr>
          <w:b/>
        </w:rPr>
      </w:pPr>
    </w:p>
    <w:p w:rsidR="000302C0" w:rsidRPr="00951606" w:rsidRDefault="000302C0" w:rsidP="000302C0">
      <w:pPr>
        <w:widowControl w:val="0"/>
        <w:suppressAutoHyphens/>
        <w:spacing w:line="276" w:lineRule="auto"/>
        <w:ind w:right="-709"/>
        <w:rPr>
          <w:b/>
        </w:rPr>
      </w:pPr>
      <w:r>
        <w:rPr>
          <w:b/>
        </w:rPr>
        <w:t xml:space="preserve">1.2. Zakres stosowania </w:t>
      </w:r>
      <w:r w:rsidRPr="00951606">
        <w:rPr>
          <w:b/>
        </w:rPr>
        <w:t>ST</w:t>
      </w:r>
    </w:p>
    <w:p w:rsidR="000302C0" w:rsidRPr="000461E0" w:rsidRDefault="000302C0" w:rsidP="000302C0">
      <w:pPr>
        <w:ind w:right="-709"/>
      </w:pPr>
      <w:r>
        <w:t>Specyfikacja Techniczna (</w:t>
      </w:r>
      <w:r w:rsidRPr="00951606">
        <w:t xml:space="preserve">ST) jest stosowana jako dokument przetargowy i kontraktowy przy zlecaniu i realizacji robót wymienionych w p. 1.1. </w:t>
      </w:r>
    </w:p>
    <w:p w:rsidR="000302C0" w:rsidRPr="00126721" w:rsidRDefault="000302C0" w:rsidP="000302C0">
      <w:pPr>
        <w:widowControl w:val="0"/>
        <w:suppressAutoHyphens/>
        <w:ind w:right="-709"/>
        <w:rPr>
          <w:b/>
        </w:rPr>
      </w:pPr>
      <w:r>
        <w:rPr>
          <w:b/>
        </w:rPr>
        <w:t xml:space="preserve">1.3. Zakres robót objętych </w:t>
      </w:r>
      <w:r w:rsidRPr="00126721">
        <w:rPr>
          <w:b/>
        </w:rPr>
        <w:t>ST</w:t>
      </w:r>
      <w:bookmarkEnd w:id="2"/>
      <w:bookmarkEnd w:id="3"/>
    </w:p>
    <w:p w:rsidR="000302C0" w:rsidRPr="00126721" w:rsidRDefault="000302C0" w:rsidP="000302C0">
      <w:pPr>
        <w:ind w:right="-709"/>
      </w:pPr>
      <w:r w:rsidRPr="000461E0">
        <w:t>Ustalenia zawarte w niniejszej specyfikacji dotyczą zasad prowadzenia robót związanych z wykonywaniem nawierzchni z kostki kamiennej.</w:t>
      </w:r>
    </w:p>
    <w:p w:rsidR="000302C0" w:rsidRPr="00126721" w:rsidRDefault="000302C0" w:rsidP="000302C0">
      <w:pPr>
        <w:keepNext/>
        <w:spacing w:before="120" w:after="120"/>
        <w:ind w:right="-709"/>
        <w:outlineLvl w:val="1"/>
        <w:rPr>
          <w:b/>
        </w:rPr>
      </w:pPr>
      <w:bookmarkStart w:id="4" w:name="_Toc266956738"/>
      <w:bookmarkStart w:id="5" w:name="_Toc266958412"/>
      <w:r w:rsidRPr="00126721">
        <w:rPr>
          <w:b/>
        </w:rPr>
        <w:t>1.4. Określenia podstawowe</w:t>
      </w:r>
      <w:bookmarkEnd w:id="4"/>
      <w:bookmarkEnd w:id="5"/>
    </w:p>
    <w:p w:rsidR="000302C0" w:rsidRPr="00126721" w:rsidRDefault="000302C0" w:rsidP="000302C0">
      <w:pPr>
        <w:ind w:right="-709"/>
      </w:pPr>
      <w:r w:rsidRPr="00126721">
        <w:rPr>
          <w:b/>
        </w:rPr>
        <w:t xml:space="preserve">1.4.1. </w:t>
      </w:r>
      <w:r w:rsidRPr="00126721">
        <w:t>Nawierzchnia twarda ulepszona - nawierzchnia bezpylna i dostatecznie równa, przystosowana do szybkiego ruchu samochodowego.</w:t>
      </w:r>
    </w:p>
    <w:p w:rsidR="000302C0" w:rsidRPr="00126721" w:rsidRDefault="000302C0" w:rsidP="000302C0">
      <w:pPr>
        <w:ind w:right="-709"/>
      </w:pPr>
      <w:r w:rsidRPr="00126721">
        <w:rPr>
          <w:b/>
        </w:rPr>
        <w:t xml:space="preserve">1.4.2. </w:t>
      </w:r>
      <w:r w:rsidRPr="00126721">
        <w:t>Nawierzchnia kostkowa - nawierzchnia, której warstwa ścieralna jest wykonana z kostek kamiennych.</w:t>
      </w:r>
    </w:p>
    <w:p w:rsidR="000302C0" w:rsidRPr="00126721" w:rsidRDefault="000302C0" w:rsidP="000302C0">
      <w:pPr>
        <w:ind w:right="-709"/>
      </w:pPr>
      <w:r w:rsidRPr="00126721">
        <w:rPr>
          <w:b/>
        </w:rPr>
        <w:t xml:space="preserve">1.4.3. </w:t>
      </w:r>
      <w:r w:rsidRPr="00126721">
        <w:t>Pozostałe określenia podstawowe są zgodne z obowiązującymi, odpowiednimi polskimi norm</w:t>
      </w:r>
      <w:r>
        <w:t xml:space="preserve">ami i z definicjami podanymi w </w:t>
      </w:r>
      <w:r w:rsidRPr="00126721">
        <w:t xml:space="preserve">ST D-M-00.00.00 „Wymagania ogólne” </w:t>
      </w:r>
      <w:proofErr w:type="spellStart"/>
      <w:r w:rsidRPr="00126721">
        <w:t>pkt</w:t>
      </w:r>
      <w:proofErr w:type="spellEnd"/>
      <w:r w:rsidRPr="00126721">
        <w:t xml:space="preserve"> 1.4.</w:t>
      </w:r>
    </w:p>
    <w:p w:rsidR="000302C0" w:rsidRPr="00126721" w:rsidRDefault="000302C0" w:rsidP="000302C0">
      <w:pPr>
        <w:keepNext/>
        <w:spacing w:before="120" w:after="120"/>
        <w:ind w:right="-709"/>
        <w:outlineLvl w:val="1"/>
        <w:rPr>
          <w:b/>
        </w:rPr>
      </w:pPr>
      <w:bookmarkStart w:id="6" w:name="_Toc266956739"/>
      <w:bookmarkStart w:id="7" w:name="_Toc266958413"/>
      <w:r w:rsidRPr="00126721">
        <w:rPr>
          <w:b/>
        </w:rPr>
        <w:t>1.5. Ogólne wymagania dotyczące robót</w:t>
      </w:r>
      <w:bookmarkEnd w:id="6"/>
      <w:bookmarkEnd w:id="7"/>
      <w:r w:rsidRPr="00126721">
        <w:rPr>
          <w:b/>
        </w:rPr>
        <w:t xml:space="preserve"> </w:t>
      </w:r>
    </w:p>
    <w:p w:rsidR="000302C0" w:rsidRPr="00126721" w:rsidRDefault="000302C0" w:rsidP="000302C0">
      <w:pPr>
        <w:ind w:right="-709"/>
      </w:pPr>
      <w:r w:rsidRPr="00126721">
        <w:t xml:space="preserve">   Ogólne wyma</w:t>
      </w:r>
      <w:r>
        <w:t xml:space="preserve">gania dotyczące robót podano w </w:t>
      </w:r>
      <w:r w:rsidRPr="00126721">
        <w:t xml:space="preserve">ST D-M-00.00.00 „Wymagania ogólne” </w:t>
      </w:r>
      <w:proofErr w:type="spellStart"/>
      <w:r w:rsidRPr="00126721">
        <w:t>pkt</w:t>
      </w:r>
      <w:proofErr w:type="spellEnd"/>
      <w:r w:rsidRPr="00126721">
        <w:t xml:space="preserve"> 1.5.</w:t>
      </w:r>
    </w:p>
    <w:p w:rsidR="000302C0" w:rsidRPr="00126721" w:rsidRDefault="000302C0" w:rsidP="000302C0">
      <w:pPr>
        <w:keepNext/>
        <w:keepLines/>
        <w:suppressAutoHyphens/>
        <w:spacing w:before="120" w:after="120"/>
        <w:ind w:right="-709"/>
        <w:outlineLvl w:val="0"/>
        <w:rPr>
          <w:b/>
          <w:caps/>
          <w:kern w:val="28"/>
        </w:rPr>
      </w:pPr>
      <w:bookmarkStart w:id="8" w:name="_Toc266956740"/>
      <w:bookmarkStart w:id="9" w:name="_Toc266958414"/>
      <w:r w:rsidRPr="00126721">
        <w:rPr>
          <w:b/>
          <w:caps/>
          <w:kern w:val="28"/>
        </w:rPr>
        <w:t>2. materiały</w:t>
      </w:r>
      <w:bookmarkEnd w:id="8"/>
      <w:bookmarkEnd w:id="9"/>
    </w:p>
    <w:p w:rsidR="000302C0" w:rsidRPr="00126721" w:rsidRDefault="000302C0" w:rsidP="000302C0">
      <w:pPr>
        <w:keepNext/>
        <w:spacing w:before="120" w:after="120"/>
        <w:ind w:right="-709"/>
        <w:outlineLvl w:val="1"/>
        <w:rPr>
          <w:b/>
        </w:rPr>
      </w:pPr>
      <w:bookmarkStart w:id="10" w:name="_Toc266956741"/>
      <w:bookmarkStart w:id="11" w:name="_Toc266958415"/>
      <w:r w:rsidRPr="00126721">
        <w:rPr>
          <w:b/>
        </w:rPr>
        <w:t>2.1. Ogólne wymagania dotyczące materiałów</w:t>
      </w:r>
      <w:bookmarkEnd w:id="10"/>
      <w:bookmarkEnd w:id="11"/>
    </w:p>
    <w:p w:rsidR="000302C0" w:rsidRPr="00126721" w:rsidRDefault="000302C0" w:rsidP="000302C0">
      <w:pPr>
        <w:ind w:right="-709"/>
      </w:pPr>
      <w:r w:rsidRPr="00126721">
        <w:t>Ogólne wymagania dotyczące materiałów, ich pozysk</w:t>
      </w:r>
      <w:r>
        <w:t xml:space="preserve">iwania i składowania, podano w </w:t>
      </w:r>
      <w:r w:rsidRPr="00126721">
        <w:t xml:space="preserve">ST D-M-00.00.00 „Wymagania ogólne” </w:t>
      </w:r>
      <w:proofErr w:type="spellStart"/>
      <w:r w:rsidRPr="00126721">
        <w:t>pkt</w:t>
      </w:r>
      <w:proofErr w:type="spellEnd"/>
      <w:r w:rsidRPr="00126721">
        <w:t xml:space="preserve"> 2.</w:t>
      </w:r>
    </w:p>
    <w:p w:rsidR="000302C0" w:rsidRPr="00126721" w:rsidRDefault="000302C0" w:rsidP="000302C0">
      <w:pPr>
        <w:keepNext/>
        <w:spacing w:before="120" w:after="120"/>
        <w:ind w:right="-709"/>
        <w:outlineLvl w:val="1"/>
        <w:rPr>
          <w:b/>
        </w:rPr>
      </w:pPr>
      <w:bookmarkStart w:id="12" w:name="_Toc266956742"/>
      <w:bookmarkStart w:id="13" w:name="_Toc266958416"/>
      <w:r w:rsidRPr="00126721">
        <w:rPr>
          <w:b/>
        </w:rPr>
        <w:t>2.2. Kamienna kostka drogowa</w:t>
      </w:r>
      <w:bookmarkEnd w:id="12"/>
      <w:bookmarkEnd w:id="13"/>
    </w:p>
    <w:p w:rsidR="000302C0" w:rsidRPr="00126721" w:rsidRDefault="000302C0" w:rsidP="000302C0">
      <w:pPr>
        <w:ind w:right="-709"/>
      </w:pPr>
      <w:r w:rsidRPr="00126721">
        <w:t xml:space="preserve">Zastosowano kostkę kamienną </w:t>
      </w:r>
      <w:r>
        <w:t>1</w:t>
      </w:r>
      <w:r w:rsidR="007E75BC">
        <w:t>8</w:t>
      </w:r>
      <w:r>
        <w:t>/</w:t>
      </w:r>
      <w:r w:rsidR="007E75BC">
        <w:t>22</w:t>
      </w:r>
      <w:r>
        <w:t>cm</w:t>
      </w:r>
      <w:r w:rsidRPr="00126721">
        <w:t xml:space="preserve"> klasy I, gatunek </w:t>
      </w:r>
      <w:r>
        <w:t>min. 2.</w:t>
      </w:r>
    </w:p>
    <w:p w:rsidR="000302C0" w:rsidRPr="00126721" w:rsidRDefault="000302C0" w:rsidP="000302C0">
      <w:pPr>
        <w:spacing w:before="120"/>
        <w:ind w:right="-709"/>
      </w:pPr>
      <w:r w:rsidRPr="00126721">
        <w:rPr>
          <w:b/>
        </w:rPr>
        <w:t xml:space="preserve">2.2.2. </w:t>
      </w:r>
      <w:r w:rsidRPr="00126721">
        <w:t>Wymagania</w:t>
      </w:r>
    </w:p>
    <w:p w:rsidR="000302C0" w:rsidRPr="00126721" w:rsidRDefault="000302C0" w:rsidP="000302C0">
      <w:pPr>
        <w:spacing w:before="120"/>
        <w:ind w:right="-709"/>
      </w:pPr>
      <w:r w:rsidRPr="00126721">
        <w:t>Surowcem do wyrobu kostki kamiennej są skały magmowe, osadowe i przeobrażone. Wymagane cechy fizyczne i wytrzymałościowe przedstawia tablica 1.</w:t>
      </w:r>
    </w:p>
    <w:p w:rsidR="000302C0" w:rsidRPr="00126721" w:rsidRDefault="000302C0" w:rsidP="000302C0">
      <w:pPr>
        <w:spacing w:before="120"/>
        <w:ind w:right="-709"/>
      </w:pPr>
      <w:r w:rsidRPr="00126721">
        <w:t>Tablica 1. Wymagane cechy fizyczne i wytrzymałościowe dla kostki kamiennej wg PN – EN 1342:2003 [1].</w:t>
      </w:r>
    </w:p>
    <w:tbl>
      <w:tblPr>
        <w:tblW w:w="9137" w:type="dxa"/>
        <w:jc w:val="center"/>
        <w:tblInd w:w="69" w:type="dxa"/>
        <w:tblLayout w:type="fixed"/>
        <w:tblCellMar>
          <w:left w:w="0" w:type="dxa"/>
          <w:right w:w="0" w:type="dxa"/>
        </w:tblCellMar>
        <w:tblLook w:val="0000"/>
      </w:tblPr>
      <w:tblGrid>
        <w:gridCol w:w="555"/>
        <w:gridCol w:w="5898"/>
        <w:gridCol w:w="2684"/>
      </w:tblGrid>
      <w:tr w:rsidR="000302C0" w:rsidRPr="00126721" w:rsidTr="00697F9A">
        <w:trPr>
          <w:cantSplit/>
          <w:jc w:val="center"/>
        </w:trPr>
        <w:tc>
          <w:tcPr>
            <w:tcW w:w="555" w:type="dxa"/>
            <w:tcBorders>
              <w:top w:val="single" w:sz="6" w:space="0" w:color="000000"/>
              <w:left w:val="single" w:sz="6" w:space="0" w:color="000000"/>
            </w:tcBorders>
          </w:tcPr>
          <w:p w:rsidR="000302C0" w:rsidRPr="00126721" w:rsidRDefault="000302C0" w:rsidP="000302C0">
            <w:pPr>
              <w:ind w:right="-709"/>
              <w:jc w:val="center"/>
              <w:rPr>
                <w:sz w:val="22"/>
              </w:rPr>
            </w:pPr>
            <w:r w:rsidRPr="00126721">
              <w:rPr>
                <w:sz w:val="22"/>
              </w:rPr>
              <w:t>Lp.</w:t>
            </w:r>
          </w:p>
        </w:tc>
        <w:tc>
          <w:tcPr>
            <w:tcW w:w="5898" w:type="dxa"/>
            <w:tcBorders>
              <w:top w:val="single" w:sz="6" w:space="0" w:color="000000"/>
              <w:left w:val="single" w:sz="6" w:space="0" w:color="000000"/>
            </w:tcBorders>
          </w:tcPr>
          <w:p w:rsidR="000302C0" w:rsidRPr="00126721" w:rsidRDefault="000302C0" w:rsidP="000302C0">
            <w:pPr>
              <w:ind w:right="-709"/>
              <w:jc w:val="center"/>
              <w:rPr>
                <w:sz w:val="22"/>
              </w:rPr>
            </w:pPr>
            <w:r w:rsidRPr="00126721">
              <w:rPr>
                <w:sz w:val="22"/>
              </w:rPr>
              <w:t>Cechy fizyczne</w:t>
            </w:r>
          </w:p>
        </w:tc>
        <w:tc>
          <w:tcPr>
            <w:tcW w:w="2684" w:type="dxa"/>
            <w:vMerge w:val="restart"/>
            <w:tcBorders>
              <w:top w:val="single" w:sz="6" w:space="0" w:color="000000"/>
              <w:left w:val="single" w:sz="6" w:space="0" w:color="000000"/>
              <w:right w:val="single" w:sz="6" w:space="0" w:color="000000"/>
            </w:tcBorders>
          </w:tcPr>
          <w:p w:rsidR="000302C0" w:rsidRPr="00126721" w:rsidRDefault="000302C0" w:rsidP="000302C0">
            <w:pPr>
              <w:ind w:right="-709"/>
              <w:jc w:val="center"/>
              <w:rPr>
                <w:sz w:val="22"/>
              </w:rPr>
            </w:pPr>
            <w:r w:rsidRPr="00126721">
              <w:rPr>
                <w:sz w:val="22"/>
              </w:rPr>
              <w:t>Klasa I</w:t>
            </w:r>
          </w:p>
        </w:tc>
      </w:tr>
      <w:tr w:rsidR="000302C0" w:rsidRPr="00126721" w:rsidTr="00697F9A">
        <w:trPr>
          <w:cantSplit/>
          <w:jc w:val="center"/>
        </w:trPr>
        <w:tc>
          <w:tcPr>
            <w:tcW w:w="555" w:type="dxa"/>
            <w:tcBorders>
              <w:left w:val="single" w:sz="6" w:space="0" w:color="000000"/>
              <w:bottom w:val="double" w:sz="6" w:space="0" w:color="000000"/>
              <w:right w:val="single" w:sz="6" w:space="0" w:color="000000"/>
            </w:tcBorders>
          </w:tcPr>
          <w:p w:rsidR="000302C0" w:rsidRPr="00126721" w:rsidRDefault="000302C0" w:rsidP="000302C0">
            <w:pPr>
              <w:ind w:right="-709"/>
              <w:jc w:val="center"/>
              <w:rPr>
                <w:sz w:val="22"/>
              </w:rPr>
            </w:pPr>
          </w:p>
        </w:tc>
        <w:tc>
          <w:tcPr>
            <w:tcW w:w="5898" w:type="dxa"/>
            <w:tcBorders>
              <w:bottom w:val="double" w:sz="6" w:space="0" w:color="000000"/>
            </w:tcBorders>
          </w:tcPr>
          <w:p w:rsidR="000302C0" w:rsidRPr="00126721" w:rsidRDefault="000302C0" w:rsidP="000302C0">
            <w:pPr>
              <w:ind w:right="-709"/>
              <w:jc w:val="center"/>
              <w:rPr>
                <w:sz w:val="22"/>
              </w:rPr>
            </w:pPr>
            <w:r w:rsidRPr="00126721">
              <w:rPr>
                <w:sz w:val="22"/>
              </w:rPr>
              <w:t>i wytrzymałościowe</w:t>
            </w:r>
          </w:p>
        </w:tc>
        <w:tc>
          <w:tcPr>
            <w:tcW w:w="2684" w:type="dxa"/>
            <w:vMerge/>
            <w:tcBorders>
              <w:left w:val="single" w:sz="6" w:space="0" w:color="000000"/>
              <w:bottom w:val="double" w:sz="6" w:space="0" w:color="000000"/>
              <w:right w:val="single" w:sz="6" w:space="0" w:color="000000"/>
            </w:tcBorders>
          </w:tcPr>
          <w:p w:rsidR="000302C0" w:rsidRPr="00126721" w:rsidRDefault="000302C0" w:rsidP="000302C0">
            <w:pPr>
              <w:ind w:right="-709"/>
              <w:jc w:val="center"/>
              <w:rPr>
                <w:sz w:val="22"/>
              </w:rPr>
            </w:pPr>
          </w:p>
        </w:tc>
      </w:tr>
      <w:tr w:rsidR="000302C0" w:rsidRPr="00126721" w:rsidTr="00697F9A">
        <w:trPr>
          <w:cantSplit/>
          <w:jc w:val="center"/>
        </w:trPr>
        <w:tc>
          <w:tcPr>
            <w:tcW w:w="555" w:type="dxa"/>
            <w:tcBorders>
              <w:left w:val="single" w:sz="6" w:space="0" w:color="000000"/>
              <w:bottom w:val="single" w:sz="6" w:space="0" w:color="000000"/>
            </w:tcBorders>
          </w:tcPr>
          <w:p w:rsidR="000302C0" w:rsidRPr="00126721" w:rsidRDefault="000302C0" w:rsidP="000302C0">
            <w:pPr>
              <w:ind w:right="-709"/>
              <w:jc w:val="center"/>
              <w:rPr>
                <w:sz w:val="22"/>
              </w:rPr>
            </w:pPr>
            <w:r w:rsidRPr="00126721">
              <w:rPr>
                <w:sz w:val="22"/>
              </w:rPr>
              <w:t>1</w:t>
            </w:r>
          </w:p>
        </w:tc>
        <w:tc>
          <w:tcPr>
            <w:tcW w:w="5898" w:type="dxa"/>
            <w:tcBorders>
              <w:left w:val="single" w:sz="6" w:space="0" w:color="000000"/>
              <w:bottom w:val="single" w:sz="6" w:space="0" w:color="000000"/>
            </w:tcBorders>
          </w:tcPr>
          <w:p w:rsidR="000302C0" w:rsidRPr="00126721" w:rsidRDefault="000302C0" w:rsidP="000302C0">
            <w:pPr>
              <w:ind w:right="-709"/>
              <w:rPr>
                <w:sz w:val="22"/>
              </w:rPr>
            </w:pPr>
            <w:r w:rsidRPr="00126721">
              <w:rPr>
                <w:sz w:val="22"/>
              </w:rPr>
              <w:t xml:space="preserve">Wytrzymałość na ściskanie w stanie powietrzno-suchym, </w:t>
            </w:r>
            <w:proofErr w:type="spellStart"/>
            <w:r w:rsidRPr="00126721">
              <w:rPr>
                <w:sz w:val="22"/>
              </w:rPr>
              <w:t>MPa</w:t>
            </w:r>
            <w:proofErr w:type="spellEnd"/>
            <w:r w:rsidRPr="00126721">
              <w:rPr>
                <w:sz w:val="22"/>
              </w:rPr>
              <w:t>, nie mniej niż</w:t>
            </w:r>
          </w:p>
        </w:tc>
        <w:tc>
          <w:tcPr>
            <w:tcW w:w="2684" w:type="dxa"/>
            <w:tcBorders>
              <w:left w:val="single" w:sz="6" w:space="0" w:color="000000"/>
              <w:bottom w:val="single" w:sz="6" w:space="0" w:color="000000"/>
              <w:right w:val="single" w:sz="6" w:space="0" w:color="000000"/>
            </w:tcBorders>
          </w:tcPr>
          <w:p w:rsidR="000302C0" w:rsidRPr="00126721" w:rsidRDefault="000302C0" w:rsidP="000302C0">
            <w:pPr>
              <w:ind w:right="-709"/>
              <w:jc w:val="center"/>
              <w:rPr>
                <w:sz w:val="22"/>
              </w:rPr>
            </w:pPr>
            <w:r w:rsidRPr="00126721">
              <w:rPr>
                <w:sz w:val="22"/>
              </w:rPr>
              <w:t>160</w:t>
            </w:r>
          </w:p>
        </w:tc>
      </w:tr>
      <w:tr w:rsidR="000302C0" w:rsidRPr="00126721" w:rsidTr="00697F9A">
        <w:trPr>
          <w:cantSplit/>
          <w:jc w:val="center"/>
        </w:trPr>
        <w:tc>
          <w:tcPr>
            <w:tcW w:w="555" w:type="dxa"/>
            <w:tcBorders>
              <w:left w:val="single" w:sz="6" w:space="0" w:color="000000"/>
              <w:bottom w:val="single" w:sz="6" w:space="0" w:color="000000"/>
            </w:tcBorders>
          </w:tcPr>
          <w:p w:rsidR="000302C0" w:rsidRPr="00126721" w:rsidRDefault="000302C0" w:rsidP="000302C0">
            <w:pPr>
              <w:ind w:right="-709"/>
              <w:jc w:val="center"/>
              <w:rPr>
                <w:sz w:val="22"/>
              </w:rPr>
            </w:pPr>
            <w:r w:rsidRPr="00126721">
              <w:rPr>
                <w:sz w:val="22"/>
              </w:rPr>
              <w:t>2</w:t>
            </w:r>
          </w:p>
        </w:tc>
        <w:tc>
          <w:tcPr>
            <w:tcW w:w="5898" w:type="dxa"/>
            <w:tcBorders>
              <w:left w:val="single" w:sz="6" w:space="0" w:color="000000"/>
              <w:bottom w:val="single" w:sz="6" w:space="0" w:color="000000"/>
            </w:tcBorders>
          </w:tcPr>
          <w:p w:rsidR="000302C0" w:rsidRPr="00126721" w:rsidRDefault="000302C0" w:rsidP="000302C0">
            <w:pPr>
              <w:ind w:right="-709"/>
              <w:rPr>
                <w:sz w:val="22"/>
              </w:rPr>
            </w:pPr>
            <w:r w:rsidRPr="00126721">
              <w:rPr>
                <w:sz w:val="22"/>
              </w:rPr>
              <w:t xml:space="preserve">Ścieralność na tarczy </w:t>
            </w:r>
            <w:proofErr w:type="spellStart"/>
            <w:r w:rsidRPr="00126721">
              <w:rPr>
                <w:sz w:val="22"/>
              </w:rPr>
              <w:t>Boehmego</w:t>
            </w:r>
            <w:proofErr w:type="spellEnd"/>
            <w:r w:rsidRPr="00126721">
              <w:rPr>
                <w:sz w:val="22"/>
              </w:rPr>
              <w:t>, w centymetrach, nie więcej niż</w:t>
            </w:r>
          </w:p>
        </w:tc>
        <w:tc>
          <w:tcPr>
            <w:tcW w:w="2684" w:type="dxa"/>
            <w:tcBorders>
              <w:left w:val="single" w:sz="6" w:space="0" w:color="000000"/>
              <w:bottom w:val="single" w:sz="6" w:space="0" w:color="000000"/>
              <w:right w:val="single" w:sz="6" w:space="0" w:color="000000"/>
            </w:tcBorders>
          </w:tcPr>
          <w:p w:rsidR="000302C0" w:rsidRPr="00126721" w:rsidRDefault="000302C0" w:rsidP="000302C0">
            <w:pPr>
              <w:ind w:right="-709"/>
              <w:jc w:val="center"/>
              <w:rPr>
                <w:sz w:val="22"/>
              </w:rPr>
            </w:pPr>
            <w:r w:rsidRPr="00126721">
              <w:rPr>
                <w:sz w:val="22"/>
              </w:rPr>
              <w:t>0,2</w:t>
            </w:r>
          </w:p>
        </w:tc>
      </w:tr>
      <w:tr w:rsidR="000302C0" w:rsidRPr="00126721" w:rsidTr="00697F9A">
        <w:trPr>
          <w:cantSplit/>
          <w:jc w:val="center"/>
        </w:trPr>
        <w:tc>
          <w:tcPr>
            <w:tcW w:w="555" w:type="dxa"/>
            <w:tcBorders>
              <w:left w:val="single" w:sz="6" w:space="0" w:color="000000"/>
              <w:bottom w:val="single" w:sz="6" w:space="0" w:color="000000"/>
            </w:tcBorders>
          </w:tcPr>
          <w:p w:rsidR="000302C0" w:rsidRPr="00126721" w:rsidRDefault="000302C0" w:rsidP="000302C0">
            <w:pPr>
              <w:ind w:right="-709"/>
              <w:jc w:val="center"/>
              <w:rPr>
                <w:sz w:val="22"/>
              </w:rPr>
            </w:pPr>
            <w:r w:rsidRPr="00126721">
              <w:rPr>
                <w:sz w:val="22"/>
              </w:rPr>
              <w:t>3</w:t>
            </w:r>
          </w:p>
        </w:tc>
        <w:tc>
          <w:tcPr>
            <w:tcW w:w="5898" w:type="dxa"/>
            <w:tcBorders>
              <w:left w:val="single" w:sz="6" w:space="0" w:color="000000"/>
              <w:bottom w:val="single" w:sz="6" w:space="0" w:color="000000"/>
            </w:tcBorders>
          </w:tcPr>
          <w:p w:rsidR="000302C0" w:rsidRPr="00126721" w:rsidRDefault="000302C0" w:rsidP="000302C0">
            <w:pPr>
              <w:ind w:right="-709"/>
              <w:rPr>
                <w:sz w:val="22"/>
              </w:rPr>
            </w:pPr>
            <w:r w:rsidRPr="00126721">
              <w:rPr>
                <w:sz w:val="22"/>
              </w:rPr>
              <w:t>Wytrzymałość na uderzenie (zwięzłość), liczba uderzeń, nie mniej niż</w:t>
            </w:r>
          </w:p>
        </w:tc>
        <w:tc>
          <w:tcPr>
            <w:tcW w:w="2684" w:type="dxa"/>
            <w:tcBorders>
              <w:left w:val="single" w:sz="6" w:space="0" w:color="000000"/>
              <w:bottom w:val="single" w:sz="6" w:space="0" w:color="000000"/>
              <w:right w:val="single" w:sz="6" w:space="0" w:color="000000"/>
            </w:tcBorders>
          </w:tcPr>
          <w:p w:rsidR="000302C0" w:rsidRPr="00126721" w:rsidRDefault="000302C0" w:rsidP="000302C0">
            <w:pPr>
              <w:ind w:right="-709"/>
              <w:jc w:val="center"/>
              <w:rPr>
                <w:sz w:val="22"/>
              </w:rPr>
            </w:pPr>
            <w:r w:rsidRPr="00126721">
              <w:rPr>
                <w:sz w:val="22"/>
              </w:rPr>
              <w:t>12</w:t>
            </w:r>
          </w:p>
        </w:tc>
      </w:tr>
      <w:tr w:rsidR="000302C0" w:rsidRPr="00126721" w:rsidTr="00697F9A">
        <w:trPr>
          <w:cantSplit/>
          <w:jc w:val="center"/>
        </w:trPr>
        <w:tc>
          <w:tcPr>
            <w:tcW w:w="555" w:type="dxa"/>
            <w:tcBorders>
              <w:left w:val="single" w:sz="6" w:space="0" w:color="000000"/>
              <w:bottom w:val="single" w:sz="6" w:space="0" w:color="000000"/>
            </w:tcBorders>
          </w:tcPr>
          <w:p w:rsidR="000302C0" w:rsidRPr="00126721" w:rsidRDefault="000302C0" w:rsidP="000302C0">
            <w:pPr>
              <w:ind w:right="-709"/>
              <w:jc w:val="center"/>
              <w:rPr>
                <w:sz w:val="22"/>
              </w:rPr>
            </w:pPr>
            <w:r w:rsidRPr="00126721">
              <w:rPr>
                <w:sz w:val="22"/>
              </w:rPr>
              <w:t>4</w:t>
            </w:r>
          </w:p>
        </w:tc>
        <w:tc>
          <w:tcPr>
            <w:tcW w:w="5898" w:type="dxa"/>
            <w:tcBorders>
              <w:left w:val="single" w:sz="6" w:space="0" w:color="000000"/>
              <w:bottom w:val="single" w:sz="6" w:space="0" w:color="000000"/>
            </w:tcBorders>
          </w:tcPr>
          <w:p w:rsidR="000302C0" w:rsidRPr="00126721" w:rsidRDefault="000302C0" w:rsidP="000302C0">
            <w:pPr>
              <w:ind w:right="-709"/>
              <w:rPr>
                <w:sz w:val="22"/>
              </w:rPr>
            </w:pPr>
            <w:r w:rsidRPr="00126721">
              <w:rPr>
                <w:sz w:val="22"/>
              </w:rPr>
              <w:t>Nasiąkliwość wodą, w %, nie więcej niż</w:t>
            </w:r>
          </w:p>
        </w:tc>
        <w:tc>
          <w:tcPr>
            <w:tcW w:w="2684" w:type="dxa"/>
            <w:tcBorders>
              <w:left w:val="single" w:sz="6" w:space="0" w:color="000000"/>
              <w:bottom w:val="single" w:sz="6" w:space="0" w:color="000000"/>
              <w:right w:val="single" w:sz="6" w:space="0" w:color="000000"/>
            </w:tcBorders>
          </w:tcPr>
          <w:p w:rsidR="000302C0" w:rsidRPr="00126721" w:rsidRDefault="000302C0" w:rsidP="000302C0">
            <w:pPr>
              <w:ind w:right="-709"/>
              <w:jc w:val="center"/>
              <w:rPr>
                <w:sz w:val="22"/>
              </w:rPr>
            </w:pPr>
            <w:r w:rsidRPr="00126721">
              <w:rPr>
                <w:sz w:val="22"/>
              </w:rPr>
              <w:t>0,5</w:t>
            </w:r>
          </w:p>
        </w:tc>
      </w:tr>
      <w:tr w:rsidR="000302C0" w:rsidRPr="00126721" w:rsidTr="00697F9A">
        <w:trPr>
          <w:cantSplit/>
          <w:jc w:val="center"/>
        </w:trPr>
        <w:tc>
          <w:tcPr>
            <w:tcW w:w="555" w:type="dxa"/>
            <w:tcBorders>
              <w:left w:val="single" w:sz="6" w:space="0" w:color="000000"/>
              <w:bottom w:val="single" w:sz="6" w:space="0" w:color="000000"/>
            </w:tcBorders>
          </w:tcPr>
          <w:p w:rsidR="000302C0" w:rsidRPr="00126721" w:rsidRDefault="000302C0" w:rsidP="000302C0">
            <w:pPr>
              <w:ind w:right="-709"/>
              <w:jc w:val="center"/>
              <w:rPr>
                <w:sz w:val="22"/>
              </w:rPr>
            </w:pPr>
            <w:r w:rsidRPr="00126721">
              <w:rPr>
                <w:sz w:val="22"/>
              </w:rPr>
              <w:t>5</w:t>
            </w:r>
          </w:p>
        </w:tc>
        <w:tc>
          <w:tcPr>
            <w:tcW w:w="5898" w:type="dxa"/>
            <w:tcBorders>
              <w:left w:val="single" w:sz="6" w:space="0" w:color="000000"/>
              <w:bottom w:val="single" w:sz="6" w:space="0" w:color="000000"/>
            </w:tcBorders>
          </w:tcPr>
          <w:p w:rsidR="000302C0" w:rsidRPr="00126721" w:rsidRDefault="000302C0" w:rsidP="000302C0">
            <w:pPr>
              <w:ind w:right="-709"/>
              <w:rPr>
                <w:sz w:val="22"/>
              </w:rPr>
            </w:pPr>
            <w:r w:rsidRPr="00126721">
              <w:rPr>
                <w:sz w:val="22"/>
              </w:rPr>
              <w:t>Odporność na zamrażanie</w:t>
            </w:r>
          </w:p>
        </w:tc>
        <w:tc>
          <w:tcPr>
            <w:tcW w:w="2684" w:type="dxa"/>
            <w:tcBorders>
              <w:left w:val="single" w:sz="6" w:space="0" w:color="000000"/>
              <w:bottom w:val="single" w:sz="6" w:space="0" w:color="000000"/>
              <w:right w:val="single" w:sz="6" w:space="0" w:color="000000"/>
            </w:tcBorders>
          </w:tcPr>
          <w:p w:rsidR="000302C0" w:rsidRPr="00126721" w:rsidRDefault="000302C0" w:rsidP="000302C0">
            <w:pPr>
              <w:ind w:right="-709"/>
              <w:jc w:val="center"/>
              <w:rPr>
                <w:sz w:val="22"/>
              </w:rPr>
            </w:pPr>
            <w:r w:rsidRPr="00126721">
              <w:rPr>
                <w:sz w:val="22"/>
              </w:rPr>
              <w:t xml:space="preserve">nie bada się </w:t>
            </w:r>
          </w:p>
        </w:tc>
      </w:tr>
    </w:tbl>
    <w:p w:rsidR="000302C0" w:rsidRDefault="000302C0" w:rsidP="000302C0">
      <w:pPr>
        <w:ind w:right="-709"/>
        <w:rPr>
          <w:b/>
        </w:rPr>
      </w:pPr>
    </w:p>
    <w:p w:rsidR="000302C0" w:rsidRPr="00126721" w:rsidRDefault="000302C0" w:rsidP="000302C0">
      <w:pPr>
        <w:ind w:right="-709"/>
      </w:pPr>
      <w:r w:rsidRPr="00126721">
        <w:rPr>
          <w:b/>
        </w:rPr>
        <w:t xml:space="preserve">2.2.3. </w:t>
      </w:r>
      <w:r w:rsidRPr="00126721">
        <w:t>Kształt i wymiary kostki regularnej</w:t>
      </w:r>
    </w:p>
    <w:p w:rsidR="000302C0" w:rsidRPr="00126721" w:rsidRDefault="000302C0" w:rsidP="000302C0">
      <w:pPr>
        <w:spacing w:before="120"/>
        <w:ind w:right="-709"/>
      </w:pPr>
      <w:r w:rsidRPr="00126721">
        <w:tab/>
        <w:t>Kostka regularna normalna powinna mieć kształt sześcianu.</w:t>
      </w:r>
    </w:p>
    <w:p w:rsidR="000302C0" w:rsidRPr="00126721" w:rsidRDefault="000302C0" w:rsidP="000302C0">
      <w:pPr>
        <w:ind w:right="-709"/>
      </w:pPr>
      <w:r w:rsidRPr="00126721">
        <w:tab/>
        <w:t>Kostka regularna łącznikowa powinna mieć kształt prostopadłościanu.</w:t>
      </w:r>
    </w:p>
    <w:p w:rsidR="000302C0" w:rsidRPr="00126721" w:rsidRDefault="000302C0" w:rsidP="000302C0">
      <w:pPr>
        <w:ind w:right="-709"/>
      </w:pPr>
      <w:r w:rsidRPr="00126721">
        <w:tab/>
        <w:t>Kształt kostki regularnej normalnej i łącznikowej przedstawia rysunek 1.</w:t>
      </w:r>
    </w:p>
    <w:p w:rsidR="000302C0" w:rsidRPr="00126721" w:rsidRDefault="000302C0" w:rsidP="000302C0">
      <w:pPr>
        <w:ind w:right="-709"/>
      </w:pPr>
      <w:r w:rsidRPr="00126721">
        <w:t> </w:t>
      </w:r>
    </w:p>
    <w:p w:rsidR="000302C0" w:rsidRPr="00126721" w:rsidRDefault="000302C0" w:rsidP="000302C0">
      <w:pPr>
        <w:ind w:right="-709"/>
      </w:pPr>
      <w:r w:rsidRPr="00126721">
        <w:t> </w:t>
      </w:r>
    </w:p>
    <w:p w:rsidR="000302C0" w:rsidRPr="00126721" w:rsidRDefault="000302C0" w:rsidP="000302C0">
      <w:pPr>
        <w:ind w:right="-709"/>
      </w:pPr>
      <w:r>
        <w:rPr>
          <w:noProof/>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695450" cy="1581150"/>
            <wp:effectExtent l="19050" t="0" r="0" b="0"/>
            <wp:wrapTopAndBottom/>
            <wp:docPr id="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695450" cy="1581150"/>
                    </a:xfrm>
                    <a:prstGeom prst="rect">
                      <a:avLst/>
                    </a:prstGeom>
                    <a:noFill/>
                  </pic:spPr>
                </pic:pic>
              </a:graphicData>
            </a:graphic>
          </wp:anchor>
        </w:drawing>
      </w:r>
      <w:r w:rsidRPr="00126721">
        <w:t xml:space="preserve">A – normalna </w:t>
      </w:r>
    </w:p>
    <w:p w:rsidR="000302C0" w:rsidRPr="00126721" w:rsidRDefault="000302C0" w:rsidP="000302C0">
      <w:pPr>
        <w:ind w:right="-709"/>
      </w:pPr>
      <w:r w:rsidRPr="00126721">
        <w:t> </w:t>
      </w:r>
    </w:p>
    <w:p w:rsidR="000302C0" w:rsidRPr="00126721" w:rsidRDefault="000302C0" w:rsidP="000302C0">
      <w:pPr>
        <w:spacing w:after="120"/>
        <w:ind w:right="-709"/>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219325" cy="1609725"/>
            <wp:effectExtent l="19050" t="0" r="9525" b="0"/>
            <wp:wrapTopAndBottom/>
            <wp:docPr id="2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19325" cy="1609725"/>
                    </a:xfrm>
                    <a:prstGeom prst="rect">
                      <a:avLst/>
                    </a:prstGeom>
                    <a:noFill/>
                  </pic:spPr>
                </pic:pic>
              </a:graphicData>
            </a:graphic>
          </wp:anchor>
        </w:drawing>
      </w:r>
      <w:r w:rsidRPr="00126721">
        <w:t>B – łącznikowa</w:t>
      </w:r>
    </w:p>
    <w:p w:rsidR="000302C0" w:rsidRPr="00126721" w:rsidRDefault="000302C0" w:rsidP="000302C0">
      <w:pPr>
        <w:spacing w:after="360"/>
        <w:ind w:right="-709"/>
      </w:pPr>
      <w:r w:rsidRPr="00126721">
        <w:t>Rysunek 1. Kształt kostki regularnej normalnej i łącznikowej</w:t>
      </w:r>
    </w:p>
    <w:p w:rsidR="000302C0" w:rsidRPr="00126721" w:rsidRDefault="000302C0" w:rsidP="000302C0">
      <w:pPr>
        <w:ind w:right="-709"/>
      </w:pPr>
      <w:r w:rsidRPr="00126721">
        <w:t>Wymagania dotyczące wymiarów kostki regularnej normalnej i łącznikowej przedstawia tablica 2.</w:t>
      </w:r>
    </w:p>
    <w:p w:rsidR="000302C0" w:rsidRDefault="000302C0" w:rsidP="000302C0">
      <w:pPr>
        <w:spacing w:before="120" w:after="120"/>
        <w:ind w:right="-709"/>
      </w:pPr>
      <w:r w:rsidRPr="00126721">
        <w:t>Tablica 2. Wymiary kostki regularnej normalnej i łącznikowej oraz dopuszczalne odchyłki</w:t>
      </w:r>
    </w:p>
    <w:tbl>
      <w:tblPr>
        <w:tblW w:w="0" w:type="auto"/>
        <w:tblInd w:w="684" w:type="dxa"/>
        <w:tblCellMar>
          <w:left w:w="70" w:type="dxa"/>
          <w:right w:w="70" w:type="dxa"/>
        </w:tblCellMar>
        <w:tblLook w:val="04A0"/>
      </w:tblPr>
      <w:tblGrid>
        <w:gridCol w:w="2910"/>
        <w:gridCol w:w="570"/>
        <w:gridCol w:w="570"/>
        <w:gridCol w:w="570"/>
        <w:gridCol w:w="545"/>
        <w:gridCol w:w="160"/>
        <w:gridCol w:w="695"/>
        <w:gridCol w:w="811"/>
        <w:gridCol w:w="890"/>
      </w:tblGrid>
      <w:tr w:rsidR="000302C0" w:rsidRPr="00A9521E" w:rsidTr="00697F9A">
        <w:tc>
          <w:tcPr>
            <w:tcW w:w="2910" w:type="dxa"/>
            <w:tcBorders>
              <w:top w:val="single" w:sz="6" w:space="0" w:color="auto"/>
              <w:left w:val="single" w:sz="6" w:space="0" w:color="auto"/>
              <w:bottom w:val="nil"/>
              <w:right w:val="nil"/>
            </w:tcBorders>
            <w:noWrap/>
            <w:hideMark/>
          </w:tcPr>
          <w:p w:rsidR="000302C0" w:rsidRPr="00A9521E" w:rsidRDefault="000302C0" w:rsidP="000302C0">
            <w:pPr>
              <w:ind w:right="-709"/>
            </w:pPr>
            <w:r w:rsidRPr="00A9521E">
              <w:t> </w:t>
            </w:r>
          </w:p>
          <w:p w:rsidR="000302C0" w:rsidRPr="00A9521E" w:rsidRDefault="000302C0" w:rsidP="000302C0">
            <w:pPr>
              <w:ind w:right="-709"/>
            </w:pPr>
            <w:r w:rsidRPr="00A9521E">
              <w:t>Wyszczególnienie</w:t>
            </w:r>
          </w:p>
        </w:tc>
        <w:tc>
          <w:tcPr>
            <w:tcW w:w="2255" w:type="dxa"/>
            <w:gridSpan w:val="4"/>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Wielkość</w:t>
            </w:r>
          </w:p>
          <w:p w:rsidR="000302C0" w:rsidRPr="00A9521E" w:rsidRDefault="000302C0" w:rsidP="000302C0">
            <w:pPr>
              <w:ind w:right="-709"/>
            </w:pPr>
            <w:r w:rsidRPr="00A9521E">
              <w:t>(cm)</w:t>
            </w:r>
          </w:p>
        </w:tc>
        <w:tc>
          <w:tcPr>
            <w:tcW w:w="2556" w:type="dxa"/>
            <w:gridSpan w:val="4"/>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100" w:beforeAutospacing="1" w:after="100" w:afterAutospacing="1"/>
              <w:ind w:right="-709"/>
              <w:jc w:val="center"/>
              <w:textAlignment w:val="auto"/>
            </w:pPr>
            <w:r w:rsidRPr="00A9521E">
              <w:t>Dopuszczalne odchyłki dla gatunku   (cm)</w:t>
            </w:r>
          </w:p>
        </w:tc>
      </w:tr>
      <w:tr w:rsidR="000302C0" w:rsidRPr="00A9521E" w:rsidTr="00697F9A">
        <w:tc>
          <w:tcPr>
            <w:tcW w:w="2910" w:type="dxa"/>
            <w:tcBorders>
              <w:top w:val="nil"/>
              <w:left w:val="single" w:sz="6" w:space="0" w:color="auto"/>
              <w:bottom w:val="double" w:sz="6" w:space="0" w:color="auto"/>
              <w:right w:val="nil"/>
            </w:tcBorders>
            <w:noWrap/>
            <w:hideMark/>
          </w:tcPr>
          <w:p w:rsidR="000302C0" w:rsidRPr="00A9521E" w:rsidRDefault="000302C0" w:rsidP="000302C0">
            <w:pPr>
              <w:ind w:right="-709"/>
            </w:pPr>
            <w:r w:rsidRPr="00A9521E">
              <w:t> </w:t>
            </w:r>
          </w:p>
        </w:tc>
        <w:tc>
          <w:tcPr>
            <w:tcW w:w="570" w:type="dxa"/>
            <w:tcBorders>
              <w:top w:val="single" w:sz="6" w:space="0" w:color="auto"/>
              <w:left w:val="single" w:sz="6" w:space="0" w:color="auto"/>
              <w:bottom w:val="double" w:sz="6" w:space="0" w:color="auto"/>
              <w:right w:val="single" w:sz="6" w:space="0" w:color="auto"/>
            </w:tcBorders>
            <w:noWrap/>
            <w:hideMark/>
          </w:tcPr>
          <w:p w:rsidR="000302C0" w:rsidRPr="00A9521E" w:rsidRDefault="000302C0" w:rsidP="000302C0">
            <w:pPr>
              <w:ind w:right="-709"/>
            </w:pPr>
            <w:r w:rsidRPr="00A9521E">
              <w:t>12</w:t>
            </w:r>
          </w:p>
        </w:tc>
        <w:tc>
          <w:tcPr>
            <w:tcW w:w="570" w:type="dxa"/>
            <w:tcBorders>
              <w:top w:val="single" w:sz="6" w:space="0" w:color="auto"/>
              <w:left w:val="single" w:sz="6" w:space="0" w:color="auto"/>
              <w:bottom w:val="double" w:sz="6" w:space="0" w:color="auto"/>
              <w:right w:val="single" w:sz="6" w:space="0" w:color="auto"/>
            </w:tcBorders>
            <w:noWrap/>
            <w:hideMark/>
          </w:tcPr>
          <w:p w:rsidR="000302C0" w:rsidRPr="00A9521E" w:rsidRDefault="000302C0" w:rsidP="000302C0">
            <w:pPr>
              <w:ind w:right="-709"/>
            </w:pPr>
            <w:r w:rsidRPr="00A9521E">
              <w:t>14</w:t>
            </w:r>
          </w:p>
        </w:tc>
        <w:tc>
          <w:tcPr>
            <w:tcW w:w="570" w:type="dxa"/>
            <w:tcBorders>
              <w:top w:val="single" w:sz="6" w:space="0" w:color="auto"/>
              <w:left w:val="single" w:sz="6" w:space="0" w:color="auto"/>
              <w:bottom w:val="double" w:sz="6" w:space="0" w:color="auto"/>
              <w:right w:val="single" w:sz="6" w:space="0" w:color="auto"/>
            </w:tcBorders>
            <w:noWrap/>
            <w:hideMark/>
          </w:tcPr>
          <w:p w:rsidR="000302C0" w:rsidRPr="007E75BC" w:rsidRDefault="000302C0" w:rsidP="000302C0">
            <w:pPr>
              <w:ind w:right="-709"/>
            </w:pPr>
            <w:r w:rsidRPr="007E75BC">
              <w:t>16</w:t>
            </w:r>
          </w:p>
        </w:tc>
        <w:tc>
          <w:tcPr>
            <w:tcW w:w="545" w:type="dxa"/>
            <w:tcBorders>
              <w:top w:val="single" w:sz="6" w:space="0" w:color="auto"/>
              <w:left w:val="single" w:sz="6" w:space="0" w:color="auto"/>
              <w:bottom w:val="double" w:sz="6" w:space="0" w:color="auto"/>
              <w:right w:val="single" w:sz="6" w:space="0" w:color="auto"/>
            </w:tcBorders>
            <w:noWrap/>
            <w:hideMark/>
          </w:tcPr>
          <w:p w:rsidR="000302C0" w:rsidRPr="000461E0" w:rsidRDefault="000302C0" w:rsidP="000302C0">
            <w:pPr>
              <w:ind w:right="-709"/>
            </w:pPr>
            <w:r w:rsidRPr="000461E0">
              <w:t>18</w:t>
            </w:r>
          </w:p>
        </w:tc>
        <w:tc>
          <w:tcPr>
            <w:tcW w:w="855" w:type="dxa"/>
            <w:gridSpan w:val="2"/>
            <w:tcBorders>
              <w:top w:val="single" w:sz="6" w:space="0" w:color="auto"/>
              <w:left w:val="single" w:sz="6" w:space="0" w:color="auto"/>
              <w:bottom w:val="double" w:sz="6" w:space="0" w:color="auto"/>
              <w:right w:val="single" w:sz="6" w:space="0" w:color="auto"/>
            </w:tcBorders>
            <w:noWrap/>
            <w:hideMark/>
          </w:tcPr>
          <w:p w:rsidR="000302C0" w:rsidRPr="00A9521E" w:rsidRDefault="000302C0" w:rsidP="000302C0">
            <w:pPr>
              <w:ind w:right="-709"/>
            </w:pPr>
            <w:r w:rsidRPr="00A9521E">
              <w:t>1</w:t>
            </w:r>
          </w:p>
        </w:tc>
        <w:tc>
          <w:tcPr>
            <w:tcW w:w="811" w:type="dxa"/>
            <w:tcBorders>
              <w:top w:val="single" w:sz="6" w:space="0" w:color="auto"/>
              <w:left w:val="single" w:sz="6" w:space="0" w:color="auto"/>
              <w:bottom w:val="double" w:sz="6" w:space="0" w:color="auto"/>
              <w:right w:val="single" w:sz="6" w:space="0" w:color="auto"/>
            </w:tcBorders>
            <w:noWrap/>
            <w:hideMark/>
          </w:tcPr>
          <w:p w:rsidR="000302C0" w:rsidRPr="007E75BC" w:rsidRDefault="000302C0" w:rsidP="000302C0">
            <w:pPr>
              <w:overflowPunct/>
              <w:autoSpaceDE/>
              <w:autoSpaceDN/>
              <w:adjustRightInd/>
              <w:spacing w:before="100" w:beforeAutospacing="1" w:after="100" w:afterAutospacing="1"/>
              <w:ind w:right="-709"/>
              <w:jc w:val="center"/>
              <w:textAlignment w:val="auto"/>
            </w:pPr>
            <w:r w:rsidRPr="007E75BC">
              <w:t>2</w:t>
            </w:r>
          </w:p>
        </w:tc>
        <w:tc>
          <w:tcPr>
            <w:tcW w:w="890" w:type="dxa"/>
            <w:tcBorders>
              <w:top w:val="single" w:sz="6" w:space="0" w:color="auto"/>
              <w:left w:val="single" w:sz="6" w:space="0" w:color="auto"/>
              <w:bottom w:val="double" w:sz="6" w:space="0" w:color="auto"/>
              <w:right w:val="single" w:sz="6" w:space="0" w:color="auto"/>
            </w:tcBorders>
            <w:noWrap/>
            <w:hideMark/>
          </w:tcPr>
          <w:p w:rsidR="000302C0" w:rsidRPr="00A9521E" w:rsidRDefault="000302C0" w:rsidP="000302C0">
            <w:pPr>
              <w:overflowPunct/>
              <w:autoSpaceDE/>
              <w:autoSpaceDN/>
              <w:adjustRightInd/>
              <w:spacing w:before="100" w:beforeAutospacing="1" w:after="100" w:afterAutospacing="1"/>
              <w:ind w:right="-709"/>
              <w:jc w:val="center"/>
              <w:textAlignment w:val="auto"/>
            </w:pPr>
            <w:r w:rsidRPr="00A9521E">
              <w:t>3</w:t>
            </w:r>
          </w:p>
        </w:tc>
      </w:tr>
      <w:tr w:rsidR="000302C0" w:rsidRPr="00A9521E" w:rsidTr="00697F9A">
        <w:tc>
          <w:tcPr>
            <w:tcW w:w="2910" w:type="dxa"/>
            <w:tcBorders>
              <w:top w:val="nil"/>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Wymiar a</w:t>
            </w:r>
          </w:p>
        </w:tc>
        <w:tc>
          <w:tcPr>
            <w:tcW w:w="570" w:type="dxa"/>
            <w:tcBorders>
              <w:top w:val="nil"/>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12</w:t>
            </w:r>
          </w:p>
        </w:tc>
        <w:tc>
          <w:tcPr>
            <w:tcW w:w="570" w:type="dxa"/>
            <w:tcBorders>
              <w:top w:val="nil"/>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14</w:t>
            </w:r>
          </w:p>
        </w:tc>
        <w:tc>
          <w:tcPr>
            <w:tcW w:w="570" w:type="dxa"/>
            <w:tcBorders>
              <w:top w:val="nil"/>
              <w:left w:val="single" w:sz="6" w:space="0" w:color="auto"/>
              <w:bottom w:val="single" w:sz="6" w:space="0" w:color="auto"/>
              <w:right w:val="single" w:sz="6" w:space="0" w:color="auto"/>
            </w:tcBorders>
            <w:noWrap/>
            <w:hideMark/>
          </w:tcPr>
          <w:p w:rsidR="000302C0" w:rsidRPr="007E75BC" w:rsidRDefault="000302C0" w:rsidP="000302C0">
            <w:pPr>
              <w:ind w:right="-709"/>
            </w:pPr>
            <w:r w:rsidRPr="007E75BC">
              <w:t>16</w:t>
            </w:r>
          </w:p>
        </w:tc>
        <w:tc>
          <w:tcPr>
            <w:tcW w:w="545" w:type="dxa"/>
            <w:tcBorders>
              <w:top w:val="nil"/>
              <w:left w:val="single" w:sz="6" w:space="0" w:color="auto"/>
              <w:bottom w:val="single" w:sz="6" w:space="0" w:color="auto"/>
              <w:right w:val="single" w:sz="6" w:space="0" w:color="auto"/>
            </w:tcBorders>
            <w:noWrap/>
            <w:hideMark/>
          </w:tcPr>
          <w:p w:rsidR="000302C0" w:rsidRPr="000461E0" w:rsidRDefault="000302C0" w:rsidP="000302C0">
            <w:pPr>
              <w:ind w:right="-709"/>
            </w:pPr>
            <w:r w:rsidRPr="000461E0">
              <w:t>18</w:t>
            </w:r>
          </w:p>
        </w:tc>
        <w:tc>
          <w:tcPr>
            <w:tcW w:w="855" w:type="dxa"/>
            <w:gridSpan w:val="2"/>
            <w:tcBorders>
              <w:top w:val="nil"/>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sym w:font="Symbol" w:char="00B1"/>
            </w:r>
            <w:r w:rsidRPr="00A9521E">
              <w:t xml:space="preserve"> 0,5</w:t>
            </w:r>
          </w:p>
        </w:tc>
        <w:tc>
          <w:tcPr>
            <w:tcW w:w="811" w:type="dxa"/>
            <w:tcBorders>
              <w:top w:val="nil"/>
              <w:left w:val="nil"/>
              <w:bottom w:val="single" w:sz="6" w:space="0" w:color="auto"/>
              <w:right w:val="single" w:sz="6" w:space="0" w:color="auto"/>
            </w:tcBorders>
            <w:noWrap/>
            <w:hideMark/>
          </w:tcPr>
          <w:p w:rsidR="000302C0" w:rsidRPr="007E75BC" w:rsidRDefault="000302C0" w:rsidP="000302C0">
            <w:pPr>
              <w:overflowPunct/>
              <w:autoSpaceDE/>
              <w:autoSpaceDN/>
              <w:adjustRightInd/>
              <w:spacing w:before="60" w:after="60"/>
              <w:ind w:right="-709"/>
              <w:jc w:val="center"/>
              <w:textAlignment w:val="auto"/>
            </w:pPr>
            <w:r w:rsidRPr="007E75BC">
              <w:sym w:font="Symbol" w:char="00B1"/>
            </w:r>
            <w:r w:rsidRPr="007E75BC">
              <w:t xml:space="preserve"> 0,7</w:t>
            </w:r>
          </w:p>
        </w:tc>
        <w:tc>
          <w:tcPr>
            <w:tcW w:w="890" w:type="dxa"/>
            <w:tcBorders>
              <w:top w:val="nil"/>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60" w:after="60"/>
              <w:ind w:right="-709"/>
              <w:jc w:val="center"/>
              <w:textAlignment w:val="auto"/>
            </w:pPr>
            <w:r w:rsidRPr="00A9521E">
              <w:sym w:font="Symbol" w:char="00B1"/>
            </w:r>
            <w:r w:rsidRPr="00A9521E">
              <w:t xml:space="preserve"> 1,0</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Wymiar b</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18</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21</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7E75BC" w:rsidRDefault="000302C0" w:rsidP="000302C0">
            <w:pPr>
              <w:ind w:right="-709"/>
            </w:pPr>
            <w:r w:rsidRPr="007E75BC">
              <w:t>24</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0461E0" w:rsidRDefault="000302C0" w:rsidP="000302C0">
            <w:pPr>
              <w:ind w:right="-709"/>
            </w:pPr>
            <w:r w:rsidRPr="000461E0">
              <w:t>27</w:t>
            </w:r>
          </w:p>
        </w:tc>
        <w:tc>
          <w:tcPr>
            <w:tcW w:w="855" w:type="dxa"/>
            <w:gridSpan w:val="2"/>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sym w:font="Symbol" w:char="00B1"/>
            </w:r>
            <w:r w:rsidRPr="00A9521E">
              <w:t xml:space="preserve"> 0,7</w:t>
            </w:r>
          </w:p>
        </w:tc>
        <w:tc>
          <w:tcPr>
            <w:tcW w:w="811" w:type="dxa"/>
            <w:tcBorders>
              <w:top w:val="single" w:sz="6" w:space="0" w:color="auto"/>
              <w:left w:val="nil"/>
              <w:bottom w:val="single" w:sz="6" w:space="0" w:color="auto"/>
              <w:right w:val="single" w:sz="6" w:space="0" w:color="auto"/>
            </w:tcBorders>
            <w:noWrap/>
            <w:hideMark/>
          </w:tcPr>
          <w:p w:rsidR="000302C0" w:rsidRPr="007E75BC" w:rsidRDefault="000302C0" w:rsidP="000302C0">
            <w:pPr>
              <w:overflowPunct/>
              <w:autoSpaceDE/>
              <w:autoSpaceDN/>
              <w:adjustRightInd/>
              <w:spacing w:before="60" w:after="60"/>
              <w:ind w:right="-709"/>
              <w:jc w:val="center"/>
              <w:textAlignment w:val="auto"/>
            </w:pPr>
            <w:r w:rsidRPr="007E75BC">
              <w:sym w:font="Symbol" w:char="00B1"/>
            </w:r>
            <w:r w:rsidRPr="007E75BC">
              <w:t xml:space="preserve"> 1,0</w:t>
            </w:r>
          </w:p>
        </w:tc>
        <w:tc>
          <w:tcPr>
            <w:tcW w:w="89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60" w:after="60"/>
              <w:ind w:right="-709"/>
              <w:jc w:val="center"/>
              <w:textAlignment w:val="auto"/>
            </w:pPr>
            <w:r w:rsidRPr="00A9521E">
              <w:sym w:font="Symbol" w:char="00B1"/>
            </w:r>
            <w:r w:rsidRPr="00A9521E">
              <w:t xml:space="preserve"> 1,2</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Stosunek pola powierzchni dolnej (stopki) do górnej (czoła), nie mniejszy niż</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 </w:t>
            </w:r>
          </w:p>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 </w:t>
            </w:r>
          </w:p>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 </w:t>
            </w:r>
          </w:p>
          <w:p w:rsidR="000302C0" w:rsidRPr="00A9521E" w:rsidRDefault="000302C0" w:rsidP="000302C0">
            <w:pPr>
              <w:ind w:right="-709"/>
            </w:pPr>
            <w:r w:rsidRPr="00A9521E">
              <w:t>-</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rPr>
                <w:b/>
              </w:rPr>
            </w:pPr>
            <w:r w:rsidRPr="00A9521E">
              <w:rPr>
                <w:b/>
              </w:rPr>
              <w:t> </w:t>
            </w:r>
          </w:p>
          <w:p w:rsidR="000302C0" w:rsidRPr="00A9521E" w:rsidRDefault="000302C0" w:rsidP="000302C0">
            <w:pPr>
              <w:ind w:right="-709"/>
              <w:rPr>
                <w:b/>
              </w:rPr>
            </w:pPr>
            <w:r w:rsidRPr="00A9521E">
              <w:rPr>
                <w:b/>
              </w:rPr>
              <w:t>-</w:t>
            </w:r>
          </w:p>
        </w:tc>
        <w:tc>
          <w:tcPr>
            <w:tcW w:w="855" w:type="dxa"/>
            <w:gridSpan w:val="2"/>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 </w:t>
            </w:r>
          </w:p>
          <w:p w:rsidR="000302C0" w:rsidRPr="00A9521E" w:rsidRDefault="000302C0" w:rsidP="000302C0">
            <w:pPr>
              <w:ind w:right="-709"/>
            </w:pPr>
            <w:r w:rsidRPr="00A9521E">
              <w:t>1,0</w:t>
            </w:r>
          </w:p>
        </w:tc>
        <w:tc>
          <w:tcPr>
            <w:tcW w:w="811" w:type="dxa"/>
            <w:tcBorders>
              <w:top w:val="single" w:sz="6" w:space="0" w:color="auto"/>
              <w:left w:val="nil"/>
              <w:bottom w:val="single" w:sz="6" w:space="0" w:color="auto"/>
              <w:right w:val="single" w:sz="6" w:space="0" w:color="auto"/>
            </w:tcBorders>
            <w:noWrap/>
            <w:hideMark/>
          </w:tcPr>
          <w:p w:rsidR="000302C0" w:rsidRPr="007E75BC" w:rsidRDefault="000302C0" w:rsidP="000302C0">
            <w:pPr>
              <w:overflowPunct/>
              <w:autoSpaceDE/>
              <w:autoSpaceDN/>
              <w:adjustRightInd/>
              <w:spacing w:before="100" w:beforeAutospacing="1" w:after="100" w:afterAutospacing="1"/>
              <w:ind w:right="-709"/>
              <w:jc w:val="center"/>
              <w:textAlignment w:val="auto"/>
            </w:pPr>
            <w:r w:rsidRPr="007E75BC">
              <w:t> </w:t>
            </w:r>
          </w:p>
          <w:p w:rsidR="000302C0" w:rsidRPr="007E75BC" w:rsidRDefault="000302C0" w:rsidP="000302C0">
            <w:pPr>
              <w:overflowPunct/>
              <w:autoSpaceDE/>
              <w:autoSpaceDN/>
              <w:adjustRightInd/>
              <w:spacing w:before="100" w:beforeAutospacing="1" w:after="100" w:afterAutospacing="1"/>
              <w:ind w:right="-709"/>
              <w:jc w:val="center"/>
              <w:textAlignment w:val="auto"/>
            </w:pPr>
            <w:r w:rsidRPr="007E75BC">
              <w:t>0,8</w:t>
            </w:r>
          </w:p>
        </w:tc>
        <w:tc>
          <w:tcPr>
            <w:tcW w:w="89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100" w:beforeAutospacing="1" w:after="100" w:afterAutospacing="1"/>
              <w:ind w:right="-709"/>
              <w:jc w:val="center"/>
              <w:textAlignment w:val="auto"/>
            </w:pPr>
            <w:r w:rsidRPr="00A9521E">
              <w:t> </w:t>
            </w:r>
          </w:p>
          <w:p w:rsidR="000302C0" w:rsidRPr="00A9521E" w:rsidRDefault="000302C0" w:rsidP="000302C0">
            <w:pPr>
              <w:overflowPunct/>
              <w:autoSpaceDE/>
              <w:autoSpaceDN/>
              <w:adjustRightInd/>
              <w:spacing w:before="100" w:beforeAutospacing="1" w:after="100" w:afterAutospacing="1"/>
              <w:ind w:right="-709"/>
              <w:jc w:val="center"/>
              <w:textAlignment w:val="auto"/>
            </w:pPr>
            <w:r w:rsidRPr="00A9521E">
              <w:t>0,7</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Nierówności powierzchni górnej (czoła), nie większe niż</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rPr>
                <w:b/>
              </w:rPr>
            </w:pPr>
            <w:r w:rsidRPr="00A9521E">
              <w:rPr>
                <w:b/>
              </w:rPr>
              <w:t>-</w:t>
            </w:r>
          </w:p>
        </w:tc>
        <w:tc>
          <w:tcPr>
            <w:tcW w:w="855" w:type="dxa"/>
            <w:gridSpan w:val="2"/>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sym w:font="Symbol" w:char="00B1"/>
            </w:r>
            <w:r w:rsidRPr="00A9521E">
              <w:t xml:space="preserve"> 0,4</w:t>
            </w:r>
          </w:p>
        </w:tc>
        <w:tc>
          <w:tcPr>
            <w:tcW w:w="811" w:type="dxa"/>
            <w:tcBorders>
              <w:top w:val="single" w:sz="6" w:space="0" w:color="auto"/>
              <w:left w:val="nil"/>
              <w:bottom w:val="single" w:sz="6" w:space="0" w:color="auto"/>
              <w:right w:val="single" w:sz="6" w:space="0" w:color="auto"/>
            </w:tcBorders>
            <w:noWrap/>
            <w:hideMark/>
          </w:tcPr>
          <w:p w:rsidR="000302C0" w:rsidRPr="007E75BC" w:rsidRDefault="000302C0" w:rsidP="000302C0">
            <w:pPr>
              <w:overflowPunct/>
              <w:autoSpaceDE/>
              <w:autoSpaceDN/>
              <w:adjustRightInd/>
              <w:spacing w:before="120" w:after="100" w:afterAutospacing="1"/>
              <w:ind w:right="-709"/>
              <w:jc w:val="center"/>
              <w:textAlignment w:val="auto"/>
            </w:pPr>
            <w:r w:rsidRPr="007E75BC">
              <w:sym w:font="Symbol" w:char="00B1"/>
            </w:r>
            <w:r w:rsidRPr="007E75BC">
              <w:t xml:space="preserve"> 0,4</w:t>
            </w:r>
          </w:p>
        </w:tc>
        <w:tc>
          <w:tcPr>
            <w:tcW w:w="89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120" w:after="100" w:afterAutospacing="1"/>
              <w:ind w:right="-709"/>
              <w:jc w:val="center"/>
              <w:textAlignment w:val="auto"/>
            </w:pPr>
            <w:r w:rsidRPr="00A9521E">
              <w:sym w:font="Symbol" w:char="00B1"/>
            </w:r>
            <w:r w:rsidRPr="00A9521E">
              <w:t xml:space="preserve"> 0,6</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Wypukłość powierzchni bocznej, nie większa niż</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rPr>
                <w:b/>
              </w:rPr>
            </w:pPr>
            <w:r w:rsidRPr="00A9521E">
              <w:rPr>
                <w:b/>
              </w:rPr>
              <w:t>-</w:t>
            </w:r>
          </w:p>
        </w:tc>
        <w:tc>
          <w:tcPr>
            <w:tcW w:w="855" w:type="dxa"/>
            <w:gridSpan w:val="2"/>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0,4</w:t>
            </w:r>
          </w:p>
        </w:tc>
        <w:tc>
          <w:tcPr>
            <w:tcW w:w="811" w:type="dxa"/>
            <w:tcBorders>
              <w:top w:val="single" w:sz="6" w:space="0" w:color="auto"/>
              <w:left w:val="nil"/>
              <w:bottom w:val="single" w:sz="6" w:space="0" w:color="auto"/>
              <w:right w:val="single" w:sz="6" w:space="0" w:color="auto"/>
            </w:tcBorders>
            <w:noWrap/>
            <w:hideMark/>
          </w:tcPr>
          <w:p w:rsidR="000302C0" w:rsidRPr="007E75BC" w:rsidRDefault="000302C0" w:rsidP="000302C0">
            <w:pPr>
              <w:overflowPunct/>
              <w:autoSpaceDE/>
              <w:autoSpaceDN/>
              <w:adjustRightInd/>
              <w:spacing w:before="120" w:after="100" w:afterAutospacing="1"/>
              <w:ind w:right="-709"/>
              <w:jc w:val="center"/>
              <w:textAlignment w:val="auto"/>
            </w:pPr>
            <w:r w:rsidRPr="007E75BC">
              <w:t>0,8</w:t>
            </w:r>
          </w:p>
        </w:tc>
        <w:tc>
          <w:tcPr>
            <w:tcW w:w="89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120" w:after="100" w:afterAutospacing="1"/>
              <w:ind w:right="-709"/>
              <w:jc w:val="center"/>
              <w:textAlignment w:val="auto"/>
            </w:pPr>
            <w:r w:rsidRPr="00A9521E">
              <w:t>0,8</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Nierówność powierzchni dolnej (stopki), nie większa niż</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rPr>
                <w:b/>
              </w:rPr>
            </w:pPr>
            <w:r w:rsidRPr="00A9521E">
              <w:rPr>
                <w:b/>
              </w:rPr>
              <w:t>-</w:t>
            </w:r>
          </w:p>
        </w:tc>
        <w:tc>
          <w:tcPr>
            <w:tcW w:w="855" w:type="dxa"/>
            <w:gridSpan w:val="2"/>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120" w:after="100" w:afterAutospacing="1"/>
              <w:ind w:right="-709"/>
              <w:jc w:val="center"/>
              <w:textAlignment w:val="auto"/>
            </w:pPr>
            <w:r w:rsidRPr="00A9521E">
              <w:sym w:font="Symbol" w:char="00B1"/>
            </w:r>
            <w:r w:rsidRPr="00A9521E">
              <w:t xml:space="preserve"> 0,4</w:t>
            </w:r>
          </w:p>
        </w:tc>
        <w:tc>
          <w:tcPr>
            <w:tcW w:w="1701" w:type="dxa"/>
            <w:gridSpan w:val="2"/>
            <w:tcBorders>
              <w:top w:val="single" w:sz="6" w:space="0" w:color="auto"/>
              <w:left w:val="nil"/>
              <w:bottom w:val="single" w:sz="6" w:space="0" w:color="auto"/>
              <w:right w:val="single" w:sz="6" w:space="0" w:color="auto"/>
            </w:tcBorders>
            <w:noWrap/>
            <w:hideMark/>
          </w:tcPr>
          <w:p w:rsidR="000302C0" w:rsidRPr="00A9521E" w:rsidRDefault="000302C0" w:rsidP="000302C0">
            <w:pPr>
              <w:overflowPunct/>
              <w:autoSpaceDE/>
              <w:autoSpaceDN/>
              <w:adjustRightInd/>
              <w:spacing w:before="120" w:after="100" w:afterAutospacing="1"/>
              <w:ind w:right="-709"/>
              <w:jc w:val="center"/>
              <w:textAlignment w:val="auto"/>
              <w:rPr>
                <w:b/>
              </w:rPr>
            </w:pPr>
            <w:r w:rsidRPr="00A9521E">
              <w:rPr>
                <w:b/>
              </w:rPr>
              <w:t>nie bada się</w:t>
            </w:r>
          </w:p>
        </w:tc>
      </w:tr>
      <w:tr w:rsidR="000302C0" w:rsidRPr="00A9521E" w:rsidTr="00697F9A">
        <w:tc>
          <w:tcPr>
            <w:tcW w:w="291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Pęknięcia kostki</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70"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pPr>
            <w:r w:rsidRPr="00A9521E">
              <w:t>-</w:t>
            </w:r>
          </w:p>
        </w:tc>
        <w:tc>
          <w:tcPr>
            <w:tcW w:w="545" w:type="dxa"/>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ind w:right="-709"/>
              <w:rPr>
                <w:b/>
              </w:rPr>
            </w:pPr>
            <w:r w:rsidRPr="00A9521E">
              <w:rPr>
                <w:b/>
              </w:rPr>
              <w:t>-</w:t>
            </w:r>
          </w:p>
        </w:tc>
        <w:tc>
          <w:tcPr>
            <w:tcW w:w="2556" w:type="dxa"/>
            <w:gridSpan w:val="4"/>
            <w:tcBorders>
              <w:top w:val="single" w:sz="6" w:space="0" w:color="auto"/>
              <w:left w:val="single" w:sz="6" w:space="0" w:color="auto"/>
              <w:bottom w:val="single" w:sz="6" w:space="0" w:color="auto"/>
              <w:right w:val="single" w:sz="6" w:space="0" w:color="auto"/>
            </w:tcBorders>
            <w:noWrap/>
            <w:hideMark/>
          </w:tcPr>
          <w:p w:rsidR="000302C0" w:rsidRPr="00A9521E" w:rsidRDefault="000302C0" w:rsidP="000302C0">
            <w:pPr>
              <w:overflowPunct/>
              <w:autoSpaceDE/>
              <w:autoSpaceDN/>
              <w:adjustRightInd/>
              <w:spacing w:before="60" w:after="60"/>
              <w:ind w:right="-709"/>
              <w:jc w:val="center"/>
              <w:textAlignment w:val="auto"/>
              <w:rPr>
                <w:b/>
              </w:rPr>
            </w:pPr>
            <w:r w:rsidRPr="00A9521E">
              <w:rPr>
                <w:b/>
              </w:rPr>
              <w:t>niedopuszczalne</w:t>
            </w:r>
          </w:p>
        </w:tc>
      </w:tr>
      <w:tr w:rsidR="000302C0" w:rsidRPr="00A9521E" w:rsidTr="00697F9A">
        <w:tc>
          <w:tcPr>
            <w:tcW w:w="291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57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57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57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545"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16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695"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811"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c>
          <w:tcPr>
            <w:tcW w:w="890" w:type="dxa"/>
            <w:tcBorders>
              <w:top w:val="nil"/>
              <w:left w:val="nil"/>
              <w:bottom w:val="nil"/>
              <w:right w:val="nil"/>
            </w:tcBorders>
            <w:vAlign w:val="center"/>
            <w:hideMark/>
          </w:tcPr>
          <w:p w:rsidR="000302C0" w:rsidRPr="00A9521E" w:rsidRDefault="000302C0" w:rsidP="000302C0">
            <w:pPr>
              <w:overflowPunct/>
              <w:autoSpaceDE/>
              <w:autoSpaceDN/>
              <w:adjustRightInd/>
              <w:ind w:right="-709"/>
              <w:jc w:val="left"/>
              <w:textAlignment w:val="auto"/>
              <w:rPr>
                <w:sz w:val="1"/>
                <w:szCs w:val="24"/>
              </w:rPr>
            </w:pPr>
          </w:p>
        </w:tc>
      </w:tr>
    </w:tbl>
    <w:p w:rsidR="000302C0" w:rsidRPr="00126721" w:rsidRDefault="000302C0" w:rsidP="000302C0">
      <w:pPr>
        <w:ind w:right="-709"/>
      </w:pPr>
      <w:r w:rsidRPr="00126721">
        <w:t>Krawędzie co najmniej jednej powierzchni kostki gatunku 1 powinny być bez uszkodzeń. Pozostałe krawędzie kostki mogą mieć uszkodzenie długości nie większej niż pół wymiaru wysokości kostki (a), natomiast łączna ich długość nie powinna przekraczać wymiaru wysokości kostki (a).</w:t>
      </w:r>
    </w:p>
    <w:p w:rsidR="000302C0" w:rsidRPr="00126721" w:rsidRDefault="000302C0" w:rsidP="000302C0">
      <w:pPr>
        <w:ind w:right="-709"/>
      </w:pPr>
      <w:r w:rsidRPr="00126721">
        <w:t>Kostki gatunku 2 i 3 mogą mieć uszkodzenia krawędzi powierzchni czołowej o długości nie większej niż pół wymiaru wysokości kostki (a), natomiast łączna ich długość nie powinna przekraczać wielkości wymiaru wysokości kostki (a).</w:t>
      </w:r>
    </w:p>
    <w:p w:rsidR="000302C0" w:rsidRPr="00126721" w:rsidRDefault="000302C0" w:rsidP="000302C0">
      <w:pPr>
        <w:ind w:right="-709"/>
      </w:pPr>
      <w:r w:rsidRPr="00126721">
        <w:t>Uszkodzenia któregokolwiek z naroży kostki gatunku 1 i naroży powierzchni górnej (czoła) kostki gatunku 2 i 3 są niedopuszczalne.</w:t>
      </w:r>
    </w:p>
    <w:p w:rsidR="000302C0" w:rsidRPr="00126721" w:rsidRDefault="000302C0" w:rsidP="000302C0">
      <w:pPr>
        <w:ind w:right="-709"/>
      </w:pPr>
      <w:r w:rsidRPr="00126721">
        <w:t xml:space="preserve">Szerokość lub głębokość uszkodzenia krawędzi lub naroży nie powinna być większa niż </w:t>
      </w:r>
      <w:smartTag w:uri="urn:schemas-microsoft-com:office:smarttags" w:element="metricconverter">
        <w:smartTagPr>
          <w:attr w:name="ProductID" w:val="0,6 cm"/>
        </w:smartTagPr>
        <w:r w:rsidRPr="00126721">
          <w:t xml:space="preserve">0,6 </w:t>
        </w:r>
        <w:proofErr w:type="spellStart"/>
        <w:r w:rsidRPr="00126721">
          <w:t>cm</w:t>
        </w:r>
      </w:smartTag>
      <w:proofErr w:type="spellEnd"/>
      <w:r w:rsidRPr="00126721">
        <w:t>.</w:t>
      </w:r>
    </w:p>
    <w:p w:rsidR="000302C0" w:rsidRDefault="000302C0" w:rsidP="000302C0">
      <w:pPr>
        <w:ind w:right="-709"/>
        <w:rPr>
          <w:b/>
        </w:rPr>
      </w:pPr>
    </w:p>
    <w:tbl>
      <w:tblPr>
        <w:tblW w:w="0" w:type="auto"/>
        <w:tblInd w:w="580" w:type="dxa"/>
        <w:tblCellMar>
          <w:left w:w="70" w:type="dxa"/>
          <w:right w:w="70" w:type="dxa"/>
        </w:tblCellMar>
        <w:tblLook w:val="04A0"/>
      </w:tblPr>
      <w:tblGrid>
        <w:gridCol w:w="2467"/>
        <w:gridCol w:w="455"/>
        <w:gridCol w:w="454"/>
        <w:gridCol w:w="454"/>
        <w:gridCol w:w="484"/>
        <w:gridCol w:w="602"/>
        <w:gridCol w:w="694"/>
        <w:gridCol w:w="146"/>
        <w:gridCol w:w="720"/>
      </w:tblGrid>
      <w:tr w:rsidR="000302C0" w:rsidRPr="005A4752" w:rsidTr="00697F9A">
        <w:tc>
          <w:tcPr>
            <w:tcW w:w="2467"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455"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454"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454"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484"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602"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694"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146"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c>
          <w:tcPr>
            <w:tcW w:w="720" w:type="dxa"/>
            <w:tcBorders>
              <w:top w:val="nil"/>
              <w:left w:val="nil"/>
              <w:bottom w:val="nil"/>
              <w:right w:val="nil"/>
            </w:tcBorders>
            <w:vAlign w:val="center"/>
            <w:hideMark/>
          </w:tcPr>
          <w:p w:rsidR="000302C0" w:rsidRPr="005A4752" w:rsidRDefault="000302C0" w:rsidP="000302C0">
            <w:pPr>
              <w:overflowPunct/>
              <w:autoSpaceDE/>
              <w:autoSpaceDN/>
              <w:adjustRightInd/>
              <w:ind w:right="-709"/>
              <w:jc w:val="left"/>
              <w:textAlignment w:val="auto"/>
              <w:rPr>
                <w:sz w:val="1"/>
                <w:szCs w:val="24"/>
              </w:rPr>
            </w:pPr>
          </w:p>
        </w:tc>
      </w:tr>
    </w:tbl>
    <w:p w:rsidR="000302C0" w:rsidRPr="00126721" w:rsidRDefault="000302C0" w:rsidP="000302C0">
      <w:pPr>
        <w:keepNext/>
        <w:spacing w:before="120" w:after="120"/>
        <w:ind w:right="-709"/>
        <w:outlineLvl w:val="1"/>
        <w:rPr>
          <w:b/>
        </w:rPr>
      </w:pPr>
      <w:bookmarkStart w:id="14" w:name="_Toc266956743"/>
      <w:bookmarkStart w:id="15" w:name="_Toc266958417"/>
      <w:r w:rsidRPr="00126721">
        <w:rPr>
          <w:b/>
        </w:rPr>
        <w:t>2.3. Krawężniki</w:t>
      </w:r>
      <w:bookmarkEnd w:id="14"/>
      <w:bookmarkEnd w:id="15"/>
    </w:p>
    <w:p w:rsidR="000302C0" w:rsidRPr="00126721" w:rsidRDefault="000302C0" w:rsidP="000302C0">
      <w:pPr>
        <w:ind w:right="-709"/>
      </w:pPr>
      <w:r w:rsidRPr="00126721">
        <w:t>Krawężniki betonowe uliczne i drogowe stosowane do obramowania nawierzchni kostkowych, powinny odpowiadać wymaganiom wg BN-80/6775-03/04 [17] i wg BN-80/6775-03/01 [16].</w:t>
      </w:r>
    </w:p>
    <w:p w:rsidR="000302C0" w:rsidRPr="00126721" w:rsidRDefault="000302C0" w:rsidP="000302C0">
      <w:pPr>
        <w:ind w:right="-709"/>
      </w:pPr>
      <w:r w:rsidRPr="00126721">
        <w:t>Wykonanie krawężników betonowych - ulicznych i wt</w:t>
      </w:r>
      <w:r>
        <w:t xml:space="preserve">opionych, powinno być zgodne z </w:t>
      </w:r>
      <w:r w:rsidRPr="00126721">
        <w:t>ST D-08.01.01 „Krawężniki betonowe”.</w:t>
      </w:r>
    </w:p>
    <w:p w:rsidR="000302C0" w:rsidRPr="00126721" w:rsidRDefault="000302C0" w:rsidP="000302C0">
      <w:pPr>
        <w:keepNext/>
        <w:spacing w:before="120" w:after="120"/>
        <w:ind w:right="-709"/>
        <w:outlineLvl w:val="1"/>
        <w:rPr>
          <w:b/>
        </w:rPr>
      </w:pPr>
      <w:bookmarkStart w:id="16" w:name="_Toc266956744"/>
      <w:bookmarkStart w:id="17" w:name="_Toc266958418"/>
      <w:r w:rsidRPr="00126721">
        <w:rPr>
          <w:b/>
        </w:rPr>
        <w:lastRenderedPageBreak/>
        <w:t>2.4. Cement</w:t>
      </w:r>
      <w:bookmarkEnd w:id="16"/>
      <w:bookmarkEnd w:id="17"/>
    </w:p>
    <w:p w:rsidR="000302C0" w:rsidRPr="00126721" w:rsidRDefault="000302C0" w:rsidP="000302C0">
      <w:pPr>
        <w:ind w:right="-709"/>
      </w:pPr>
      <w:r w:rsidRPr="00126721">
        <w:t>Cement stosowany do podsypki i wypełnienia spoin powinien być cementem portlandzkim klasy 32,5, odpowiadający wymaganiom PN-EN 197-1 [9]. Transport i przechowywanie cementu powinny być zgodne z BN-88/6731-08 [13].</w:t>
      </w:r>
    </w:p>
    <w:p w:rsidR="000302C0" w:rsidRPr="00126721" w:rsidRDefault="000302C0" w:rsidP="000302C0">
      <w:pPr>
        <w:keepNext/>
        <w:spacing w:before="120" w:after="120"/>
        <w:ind w:right="-709"/>
        <w:outlineLvl w:val="1"/>
        <w:rPr>
          <w:b/>
        </w:rPr>
      </w:pPr>
      <w:bookmarkStart w:id="18" w:name="_Toc266956745"/>
      <w:bookmarkStart w:id="19" w:name="_Toc266958419"/>
      <w:r w:rsidRPr="00126721">
        <w:rPr>
          <w:b/>
        </w:rPr>
        <w:t>2.5. Kruszywo</w:t>
      </w:r>
      <w:bookmarkEnd w:id="18"/>
      <w:bookmarkEnd w:id="19"/>
    </w:p>
    <w:p w:rsidR="000302C0" w:rsidRPr="00126721" w:rsidRDefault="000302C0" w:rsidP="000302C0">
      <w:pPr>
        <w:ind w:right="-709"/>
      </w:pPr>
      <w:r w:rsidRPr="00126721">
        <w:t xml:space="preserve">Kruszywo na podsypkę i do wypełniania spoin powinno odpowiadać wymaganiom normy PN-B-06712 [7]. Na podsypkę stosuje się mieszankę kruszywa naturalnego o frakcji od 0 do </w:t>
      </w:r>
      <w:smartTag w:uri="urn:schemas-microsoft-com:office:smarttags" w:element="metricconverter">
        <w:smartTagPr>
          <w:attr w:name="ProductID" w:val="8 mm"/>
        </w:smartTagPr>
        <w:r w:rsidRPr="00126721">
          <w:t>8 mm</w:t>
        </w:r>
      </w:smartTag>
      <w:r w:rsidRPr="00126721">
        <w:t xml:space="preserve">, a do zaprawy cementowo-piaskowej o frakcji od 0 do </w:t>
      </w:r>
      <w:smartTag w:uri="urn:schemas-microsoft-com:office:smarttags" w:element="metricconverter">
        <w:smartTagPr>
          <w:attr w:name="ProductID" w:val="4 mm"/>
        </w:smartTagPr>
        <w:r w:rsidRPr="00126721">
          <w:t xml:space="preserve">4 </w:t>
        </w:r>
        <w:proofErr w:type="spellStart"/>
        <w:r w:rsidRPr="00126721">
          <w:t>mm</w:t>
        </w:r>
      </w:smartTag>
      <w:proofErr w:type="spellEnd"/>
      <w:r w:rsidRPr="00126721">
        <w:t>. Zawartość pyłów w kruszywie na podsypkę cementowo-piaskową nie może przekraczać 3%.  Kruszywo należy przechowywać w warunkach zabezpieczających je przed zanieczyszczeniem oraz zmieszaniem z kruszywami innych klas, gatunków, frakcji (grupy frakcji). Pozostałe wymagania i badania wg PN-B-06712 [7].</w:t>
      </w:r>
    </w:p>
    <w:p w:rsidR="000302C0" w:rsidRPr="00126721" w:rsidRDefault="000302C0" w:rsidP="000302C0">
      <w:pPr>
        <w:keepNext/>
        <w:spacing w:before="120" w:after="120"/>
        <w:ind w:right="-709"/>
        <w:outlineLvl w:val="1"/>
        <w:rPr>
          <w:b/>
        </w:rPr>
      </w:pPr>
      <w:bookmarkStart w:id="20" w:name="_Toc266956746"/>
      <w:bookmarkStart w:id="21" w:name="_Toc266958420"/>
      <w:r w:rsidRPr="00126721">
        <w:rPr>
          <w:b/>
        </w:rPr>
        <w:t>2.6. Woda</w:t>
      </w:r>
      <w:bookmarkEnd w:id="20"/>
      <w:bookmarkEnd w:id="21"/>
    </w:p>
    <w:p w:rsidR="000302C0" w:rsidRDefault="000302C0" w:rsidP="000302C0">
      <w:pPr>
        <w:ind w:right="-709"/>
      </w:pPr>
      <w:r w:rsidRPr="00126721">
        <w:t xml:space="preserve">Woda stosowana do podsypki i zaprawy cementowo-piaskowej, powinna odpowiadać wymaganiom PN-EN 1008 [10]. Powinna to być woda „odmiany </w:t>
      </w:r>
      <w:smartTag w:uri="urn:schemas-microsoft-com:office:smarttags" w:element="metricconverter">
        <w:smartTagPr>
          <w:attr w:name="ProductID" w:val="1”"/>
        </w:smartTagPr>
        <w:r w:rsidRPr="00126721">
          <w:t>1”</w:t>
        </w:r>
      </w:smartTag>
      <w:r w:rsidRPr="00126721">
        <w:t>. Badania wody należy wykonywać w przypadku nowego źródła poboru wody i w przypadku podejrzeń dotyczących zmiany parametrów wody, np. zmętnienia, zapachu, barwy.</w:t>
      </w:r>
    </w:p>
    <w:p w:rsidR="000302C0" w:rsidRDefault="000302C0" w:rsidP="000302C0">
      <w:pPr>
        <w:pStyle w:val="Nagwek2"/>
        <w:ind w:right="-709"/>
      </w:pPr>
      <w:r>
        <w:t>2.7. Masa zalewowa</w:t>
      </w:r>
    </w:p>
    <w:p w:rsidR="000302C0" w:rsidRDefault="000302C0" w:rsidP="000302C0">
      <w:pPr>
        <w:ind w:right="-709"/>
      </w:pPr>
      <w:r>
        <w:t>Masa zalewowa do wypełniania spoin i szczelin dylatacyjnych w nawierzchniach z kostki kamiennej powinna być stosowana na gorąco i odpowiadać wymaganiom normy BN-74/6771-04 [14] lub aprobaty technicznej.</w:t>
      </w:r>
    </w:p>
    <w:p w:rsidR="000302C0" w:rsidRPr="00126721" w:rsidRDefault="000302C0" w:rsidP="000302C0">
      <w:pPr>
        <w:keepNext/>
        <w:keepLines/>
        <w:suppressAutoHyphens/>
        <w:spacing w:before="120" w:after="120"/>
        <w:ind w:right="-709"/>
        <w:outlineLvl w:val="0"/>
        <w:rPr>
          <w:b/>
          <w:caps/>
          <w:kern w:val="28"/>
        </w:rPr>
      </w:pPr>
      <w:bookmarkStart w:id="22" w:name="_Toc266956747"/>
      <w:bookmarkStart w:id="23" w:name="_Toc266958421"/>
      <w:r w:rsidRPr="00126721">
        <w:rPr>
          <w:b/>
          <w:caps/>
          <w:kern w:val="28"/>
        </w:rPr>
        <w:t>3. Sprzęt</w:t>
      </w:r>
      <w:bookmarkEnd w:id="22"/>
      <w:bookmarkEnd w:id="23"/>
    </w:p>
    <w:p w:rsidR="000302C0" w:rsidRPr="00126721" w:rsidRDefault="000302C0" w:rsidP="000302C0">
      <w:pPr>
        <w:keepNext/>
        <w:spacing w:before="120" w:after="120"/>
        <w:ind w:right="-709"/>
        <w:outlineLvl w:val="1"/>
        <w:rPr>
          <w:b/>
        </w:rPr>
      </w:pPr>
      <w:bookmarkStart w:id="24" w:name="_Toc266956748"/>
      <w:bookmarkStart w:id="25" w:name="_Toc266958422"/>
      <w:r w:rsidRPr="00126721">
        <w:rPr>
          <w:b/>
        </w:rPr>
        <w:t>3.1. Ogólne wymagania dotyczące sprzętu</w:t>
      </w:r>
      <w:bookmarkEnd w:id="24"/>
      <w:bookmarkEnd w:id="25"/>
    </w:p>
    <w:p w:rsidR="000302C0" w:rsidRPr="00126721" w:rsidRDefault="000302C0" w:rsidP="000302C0">
      <w:pPr>
        <w:ind w:right="-709"/>
      </w:pPr>
      <w:r w:rsidRPr="00126721">
        <w:t xml:space="preserve">  Ogólne wymaga</w:t>
      </w:r>
      <w:r>
        <w:t xml:space="preserve">nia dotyczące sprzętu podano w </w:t>
      </w:r>
      <w:r w:rsidRPr="00126721">
        <w:t xml:space="preserve">ST D-M-00.00.00 „Wymagania ogólne” </w:t>
      </w:r>
      <w:proofErr w:type="spellStart"/>
      <w:r w:rsidRPr="00126721">
        <w:t>pkt</w:t>
      </w:r>
      <w:proofErr w:type="spellEnd"/>
      <w:r w:rsidRPr="00126721">
        <w:t xml:space="preserve"> 3.</w:t>
      </w:r>
    </w:p>
    <w:p w:rsidR="000302C0" w:rsidRPr="00126721" w:rsidRDefault="000302C0" w:rsidP="000302C0">
      <w:pPr>
        <w:keepNext/>
        <w:spacing w:before="120" w:after="120"/>
        <w:ind w:right="-709"/>
        <w:outlineLvl w:val="1"/>
        <w:rPr>
          <w:b/>
        </w:rPr>
      </w:pPr>
      <w:bookmarkStart w:id="26" w:name="_Toc266956749"/>
      <w:bookmarkStart w:id="27" w:name="_Toc266958423"/>
      <w:r w:rsidRPr="00126721">
        <w:rPr>
          <w:b/>
        </w:rPr>
        <w:t>3.2. Sprzęt do wykonania nawierzchni z kostki kamiennej</w:t>
      </w:r>
      <w:bookmarkEnd w:id="26"/>
      <w:bookmarkEnd w:id="27"/>
    </w:p>
    <w:p w:rsidR="000302C0" w:rsidRPr="00126721" w:rsidRDefault="000302C0" w:rsidP="000302C0">
      <w:pPr>
        <w:ind w:right="-709"/>
      </w:pPr>
      <w:r w:rsidRPr="00126721">
        <w:t>Wykonawca przystępujący do wykonania nawierzchni z kostek kamiennych powinien wykazać się możliwością korzystania z następującego sprzętu:</w:t>
      </w:r>
    </w:p>
    <w:p w:rsidR="000302C0" w:rsidRPr="00126721" w:rsidRDefault="000302C0" w:rsidP="000302C0">
      <w:pPr>
        <w:widowControl w:val="0"/>
        <w:numPr>
          <w:ilvl w:val="0"/>
          <w:numId w:val="1"/>
        </w:numPr>
        <w:tabs>
          <w:tab w:val="left" w:pos="283"/>
        </w:tabs>
        <w:suppressAutoHyphens/>
        <w:ind w:right="-709"/>
      </w:pPr>
      <w:r w:rsidRPr="00126721">
        <w:t>betoniarki do przygotowywania podsypki cementowo-piaskowej,</w:t>
      </w:r>
    </w:p>
    <w:p w:rsidR="000302C0" w:rsidRPr="00126721" w:rsidRDefault="000302C0" w:rsidP="000302C0">
      <w:pPr>
        <w:widowControl w:val="0"/>
        <w:numPr>
          <w:ilvl w:val="0"/>
          <w:numId w:val="1"/>
        </w:numPr>
        <w:tabs>
          <w:tab w:val="left" w:pos="283"/>
        </w:tabs>
        <w:suppressAutoHyphens/>
        <w:ind w:right="-709"/>
      </w:pPr>
      <w:r w:rsidRPr="00126721">
        <w:t>ubijaków ręcznych i mechanicznych, do ubijania kostki,</w:t>
      </w:r>
    </w:p>
    <w:p w:rsidR="000302C0" w:rsidRPr="00126721" w:rsidRDefault="000302C0" w:rsidP="000302C0">
      <w:pPr>
        <w:widowControl w:val="0"/>
        <w:numPr>
          <w:ilvl w:val="0"/>
          <w:numId w:val="1"/>
        </w:numPr>
        <w:tabs>
          <w:tab w:val="left" w:pos="283"/>
        </w:tabs>
        <w:suppressAutoHyphens/>
        <w:ind w:right="-709"/>
      </w:pPr>
      <w:r w:rsidRPr="00126721">
        <w:t>wibratorów płytowych i lekkich walców wibracyjnych, do ubijania kostki po pierwszym ubiciu ręcznym.</w:t>
      </w:r>
    </w:p>
    <w:p w:rsidR="000302C0" w:rsidRPr="00126721" w:rsidRDefault="000302C0" w:rsidP="000302C0">
      <w:pPr>
        <w:keepNext/>
        <w:keepLines/>
        <w:suppressAutoHyphens/>
        <w:spacing w:before="120" w:after="120"/>
        <w:ind w:right="-709"/>
        <w:outlineLvl w:val="0"/>
        <w:rPr>
          <w:b/>
          <w:caps/>
          <w:kern w:val="28"/>
        </w:rPr>
      </w:pPr>
      <w:bookmarkStart w:id="28" w:name="_Toc266956750"/>
      <w:bookmarkStart w:id="29" w:name="_Toc266958424"/>
      <w:r w:rsidRPr="00126721">
        <w:rPr>
          <w:b/>
          <w:caps/>
          <w:kern w:val="28"/>
        </w:rPr>
        <w:t>4. transport</w:t>
      </w:r>
      <w:bookmarkEnd w:id="28"/>
      <w:bookmarkEnd w:id="29"/>
    </w:p>
    <w:p w:rsidR="000302C0" w:rsidRPr="00126721" w:rsidRDefault="000302C0" w:rsidP="000302C0">
      <w:pPr>
        <w:keepNext/>
        <w:spacing w:before="120" w:after="120"/>
        <w:ind w:right="-709"/>
        <w:outlineLvl w:val="1"/>
        <w:rPr>
          <w:b/>
        </w:rPr>
      </w:pPr>
      <w:bookmarkStart w:id="30" w:name="_Toc266956751"/>
      <w:bookmarkStart w:id="31" w:name="_Toc266958425"/>
      <w:r w:rsidRPr="00126721">
        <w:rPr>
          <w:b/>
        </w:rPr>
        <w:t>4.1. Ogólne wymagania dotyczące transportu</w:t>
      </w:r>
      <w:bookmarkEnd w:id="30"/>
      <w:bookmarkEnd w:id="31"/>
    </w:p>
    <w:p w:rsidR="000302C0" w:rsidRPr="00126721" w:rsidRDefault="000302C0" w:rsidP="000302C0">
      <w:pPr>
        <w:keepNext/>
        <w:spacing w:before="120" w:after="120"/>
        <w:ind w:right="-709"/>
        <w:outlineLvl w:val="1"/>
      </w:pPr>
      <w:bookmarkStart w:id="32" w:name="_Toc266956752"/>
      <w:bookmarkStart w:id="33" w:name="_Toc266958426"/>
      <w:r w:rsidRPr="00126721">
        <w:t>Ogólne wymagania</w:t>
      </w:r>
      <w:r>
        <w:t xml:space="preserve"> dotyczące transportu podano w </w:t>
      </w:r>
      <w:r w:rsidRPr="00126721">
        <w:t xml:space="preserve">ST D-M-00.00.00 „Wymagania ogólne” </w:t>
      </w:r>
      <w:proofErr w:type="spellStart"/>
      <w:r w:rsidRPr="00126721">
        <w:t>pkt</w:t>
      </w:r>
      <w:proofErr w:type="spellEnd"/>
      <w:r w:rsidRPr="00126721">
        <w:t xml:space="preserve"> 4.</w:t>
      </w:r>
      <w:bookmarkEnd w:id="32"/>
      <w:bookmarkEnd w:id="33"/>
    </w:p>
    <w:p w:rsidR="000302C0" w:rsidRPr="00126721" w:rsidRDefault="000302C0" w:rsidP="000302C0">
      <w:pPr>
        <w:keepNext/>
        <w:spacing w:before="120" w:after="120"/>
        <w:ind w:right="-709"/>
        <w:outlineLvl w:val="1"/>
        <w:rPr>
          <w:b/>
        </w:rPr>
      </w:pPr>
      <w:bookmarkStart w:id="34" w:name="_Toc266956753"/>
      <w:bookmarkStart w:id="35" w:name="_Toc266958427"/>
      <w:r w:rsidRPr="00126721">
        <w:rPr>
          <w:b/>
        </w:rPr>
        <w:t>4.2. Transport materiałów</w:t>
      </w:r>
      <w:bookmarkEnd w:id="34"/>
      <w:bookmarkEnd w:id="35"/>
    </w:p>
    <w:p w:rsidR="000302C0" w:rsidRPr="00126721" w:rsidRDefault="000302C0" w:rsidP="000302C0">
      <w:pPr>
        <w:ind w:right="-709"/>
      </w:pPr>
      <w:r w:rsidRPr="00126721">
        <w:rPr>
          <w:b/>
        </w:rPr>
        <w:t xml:space="preserve">4.2.1. </w:t>
      </w:r>
      <w:r w:rsidRPr="00126721">
        <w:t>Transport kostek kamiennych</w:t>
      </w:r>
    </w:p>
    <w:p w:rsidR="000302C0" w:rsidRPr="00126721" w:rsidRDefault="000302C0" w:rsidP="000302C0">
      <w:pPr>
        <w:spacing w:before="120"/>
        <w:ind w:right="-709"/>
      </w:pPr>
      <w:r>
        <w:t xml:space="preserve">Kostki kamienne przewozi się dowolnymi środkami transportowymi. </w:t>
      </w:r>
      <w:r w:rsidRPr="00126721">
        <w:t>Kostkę  rzędową należy układać na podłodze obok siebie tak, aby wypełniła całą powierzchnię środka transportowego. Na tak ułożonej warstwie należy bezpośrednio układać następne warstwy. Ładowanie ręczne kostek rzędowych powinno być wykonywane bez rzucania. Kostkę rzędową należy ustawiać w stosy.</w:t>
      </w:r>
      <w:r>
        <w:t xml:space="preserve"> Wysokość stosu nie powinna przekraczać 1 m.</w:t>
      </w:r>
    </w:p>
    <w:p w:rsidR="000302C0" w:rsidRPr="00126721" w:rsidRDefault="000302C0" w:rsidP="000302C0">
      <w:pPr>
        <w:spacing w:before="120"/>
        <w:ind w:right="-709"/>
      </w:pPr>
      <w:r w:rsidRPr="00126721">
        <w:rPr>
          <w:b/>
        </w:rPr>
        <w:t xml:space="preserve">4.2.2. </w:t>
      </w:r>
      <w:r w:rsidRPr="00126721">
        <w:t xml:space="preserve"> Transport kruszywa</w:t>
      </w:r>
    </w:p>
    <w:p w:rsidR="000302C0" w:rsidRPr="00126721" w:rsidRDefault="000302C0" w:rsidP="000302C0">
      <w:pPr>
        <w:spacing w:before="120"/>
        <w:ind w:right="-709"/>
      </w:pPr>
      <w:r w:rsidRPr="00126721">
        <w:t>Kruszywo można przewozić dowolnymi środkami transportowymi w warunkach zabezpieczających je przed rozsypywaniem i zanieczyszczeniem.</w:t>
      </w:r>
    </w:p>
    <w:p w:rsidR="000302C0" w:rsidRPr="00126721" w:rsidRDefault="000302C0" w:rsidP="000302C0">
      <w:pPr>
        <w:keepNext/>
        <w:keepLines/>
        <w:suppressAutoHyphens/>
        <w:spacing w:before="120" w:after="120"/>
        <w:ind w:right="-709"/>
        <w:outlineLvl w:val="0"/>
        <w:rPr>
          <w:b/>
          <w:caps/>
          <w:kern w:val="28"/>
        </w:rPr>
      </w:pPr>
      <w:bookmarkStart w:id="36" w:name="_Toc266956754"/>
      <w:bookmarkStart w:id="37" w:name="_Toc266958428"/>
      <w:r w:rsidRPr="00126721">
        <w:rPr>
          <w:b/>
          <w:caps/>
          <w:kern w:val="28"/>
        </w:rPr>
        <w:t>5. wykonanie robót</w:t>
      </w:r>
      <w:bookmarkEnd w:id="36"/>
      <w:bookmarkEnd w:id="37"/>
    </w:p>
    <w:p w:rsidR="000302C0" w:rsidRPr="00126721" w:rsidRDefault="000302C0" w:rsidP="000302C0">
      <w:pPr>
        <w:keepNext/>
        <w:spacing w:before="120" w:after="120"/>
        <w:ind w:right="-709"/>
        <w:outlineLvl w:val="1"/>
        <w:rPr>
          <w:b/>
        </w:rPr>
      </w:pPr>
      <w:bookmarkStart w:id="38" w:name="_Toc266956755"/>
      <w:bookmarkStart w:id="39" w:name="_Toc266958429"/>
      <w:r w:rsidRPr="00126721">
        <w:rPr>
          <w:b/>
        </w:rPr>
        <w:t>5.1. Ogólne zasady wykonania robót</w:t>
      </w:r>
      <w:bookmarkEnd w:id="38"/>
      <w:bookmarkEnd w:id="39"/>
    </w:p>
    <w:p w:rsidR="000302C0" w:rsidRPr="00126721" w:rsidRDefault="000302C0" w:rsidP="000302C0">
      <w:pPr>
        <w:ind w:right="-709"/>
      </w:pPr>
      <w:r w:rsidRPr="00126721">
        <w:t>Ogólne z</w:t>
      </w:r>
      <w:r>
        <w:t xml:space="preserve">asady wykonania robót podano w </w:t>
      </w:r>
      <w:r w:rsidRPr="00126721">
        <w:t xml:space="preserve">ST D-M-00.00.00 „Wymagania ogólne” </w:t>
      </w:r>
      <w:proofErr w:type="spellStart"/>
      <w:r w:rsidRPr="00126721">
        <w:t>pkt</w:t>
      </w:r>
      <w:proofErr w:type="spellEnd"/>
      <w:r w:rsidRPr="00126721">
        <w:t xml:space="preserve"> 5.</w:t>
      </w:r>
    </w:p>
    <w:p w:rsidR="000302C0" w:rsidRPr="00126721" w:rsidRDefault="000302C0" w:rsidP="000302C0">
      <w:pPr>
        <w:keepNext/>
        <w:spacing w:before="120" w:after="120"/>
        <w:ind w:right="-709"/>
        <w:outlineLvl w:val="1"/>
        <w:rPr>
          <w:b/>
        </w:rPr>
      </w:pPr>
      <w:bookmarkStart w:id="40" w:name="_Toc266956756"/>
      <w:bookmarkStart w:id="41" w:name="_Toc266958430"/>
      <w:r w:rsidRPr="00126721">
        <w:rPr>
          <w:b/>
        </w:rPr>
        <w:t>5.2. Przygotowanie podbudowy</w:t>
      </w:r>
      <w:bookmarkEnd w:id="40"/>
      <w:bookmarkEnd w:id="41"/>
    </w:p>
    <w:p w:rsidR="000302C0" w:rsidRPr="00126721" w:rsidRDefault="000302C0" w:rsidP="000302C0">
      <w:pPr>
        <w:ind w:right="-709"/>
      </w:pPr>
      <w:r w:rsidRPr="00126721">
        <w:t xml:space="preserve">Podbudowę pod nawierzchnię z kostki kamiennej należy przygotować zgodnie </w:t>
      </w:r>
      <w:r>
        <w:t xml:space="preserve">z zasadami podanymi w </w:t>
      </w:r>
      <w:r w:rsidRPr="00126721">
        <w:t xml:space="preserve">ST </w:t>
      </w:r>
      <w:r>
        <w:t>dla przewidzianej podbudowy</w:t>
      </w:r>
      <w:r w:rsidRPr="00126721">
        <w:t>.</w:t>
      </w:r>
    </w:p>
    <w:p w:rsidR="000302C0" w:rsidRPr="00126721" w:rsidRDefault="000302C0" w:rsidP="000302C0">
      <w:pPr>
        <w:keepNext/>
        <w:spacing w:before="120" w:after="120"/>
        <w:ind w:right="-709"/>
        <w:outlineLvl w:val="1"/>
        <w:rPr>
          <w:b/>
        </w:rPr>
      </w:pPr>
      <w:bookmarkStart w:id="42" w:name="_Toc266956757"/>
      <w:bookmarkStart w:id="43" w:name="_Toc266958431"/>
      <w:r w:rsidRPr="00126721">
        <w:rPr>
          <w:b/>
        </w:rPr>
        <w:t>5.3. Obramowanie nawierzchni</w:t>
      </w:r>
      <w:bookmarkEnd w:id="42"/>
      <w:bookmarkEnd w:id="43"/>
    </w:p>
    <w:p w:rsidR="000302C0" w:rsidRPr="00126721" w:rsidRDefault="000302C0" w:rsidP="000302C0">
      <w:pPr>
        <w:ind w:right="-709"/>
      </w:pPr>
      <w:r w:rsidRPr="00126721">
        <w:t>Do obramowania nawierzchni kostkowych zastosowano krawężniki betonowe uliczne</w:t>
      </w:r>
      <w:r w:rsidRPr="00126721">
        <w:br/>
        <w:t xml:space="preserve">odpowiadające wymaganiom norm wymienionych w </w:t>
      </w:r>
      <w:proofErr w:type="spellStart"/>
      <w:r w:rsidRPr="00126721">
        <w:t>pkt</w:t>
      </w:r>
      <w:proofErr w:type="spellEnd"/>
      <w:r w:rsidRPr="00126721">
        <w:t xml:space="preserve"> 2.3. </w:t>
      </w:r>
    </w:p>
    <w:p w:rsidR="000302C0" w:rsidRPr="00126721" w:rsidRDefault="000302C0" w:rsidP="000302C0">
      <w:pPr>
        <w:keepNext/>
        <w:spacing w:before="120" w:after="120"/>
        <w:ind w:right="-709"/>
        <w:outlineLvl w:val="1"/>
        <w:rPr>
          <w:b/>
        </w:rPr>
      </w:pPr>
      <w:bookmarkStart w:id="44" w:name="_Toc266956758"/>
      <w:bookmarkStart w:id="45" w:name="_Toc266958432"/>
      <w:r w:rsidRPr="00126721">
        <w:rPr>
          <w:b/>
        </w:rPr>
        <w:t>5.4. Podsypka</w:t>
      </w:r>
      <w:bookmarkEnd w:id="44"/>
      <w:bookmarkEnd w:id="45"/>
    </w:p>
    <w:p w:rsidR="000302C0" w:rsidRDefault="000302C0" w:rsidP="000302C0">
      <w:pPr>
        <w:ind w:right="-709"/>
      </w:pPr>
      <w:r w:rsidRPr="00126721">
        <w:t>Do wykonania nawierzchni z kostki kamiennej należy zastoso</w:t>
      </w:r>
      <w:r>
        <w:t>wać podsypkę cementowo-piaskową</w:t>
      </w:r>
      <w:r w:rsidRPr="00126721">
        <w:t>. Wymagania dla materiałów stosowanych na podsypkę powinny</w:t>
      </w:r>
      <w:r>
        <w:t xml:space="preserve"> być zgodne z </w:t>
      </w:r>
      <w:proofErr w:type="spellStart"/>
      <w:r>
        <w:t>pkt</w:t>
      </w:r>
      <w:proofErr w:type="spellEnd"/>
      <w:r>
        <w:t xml:space="preserve"> 2 niniejszej </w:t>
      </w:r>
      <w:r w:rsidRPr="00126721">
        <w:t xml:space="preserve">ST. Grubość podsypki powinna być zgodna </w:t>
      </w:r>
      <w:r w:rsidRPr="00126721">
        <w:lastRenderedPageBreak/>
        <w:t xml:space="preserve">z dokumentacją projektową. Współczynnik </w:t>
      </w:r>
      <w:proofErr w:type="spellStart"/>
      <w:r w:rsidRPr="00126721">
        <w:t>wodnocementowy</w:t>
      </w:r>
      <w:proofErr w:type="spellEnd"/>
      <w:r w:rsidRPr="00126721">
        <w:t xml:space="preserve"> dla podsypki cementowo-piaskowej, powinien wynosić od 0,20 do 0,25, a wytrzymałość na ściskanie R</w:t>
      </w:r>
      <w:r w:rsidRPr="00126721">
        <w:rPr>
          <w:vertAlign w:val="subscript"/>
        </w:rPr>
        <w:t>7</w:t>
      </w:r>
      <w:r w:rsidRPr="00126721">
        <w:t xml:space="preserve"> = 10 </w:t>
      </w:r>
      <w:proofErr w:type="spellStart"/>
      <w:r w:rsidRPr="00126721">
        <w:t>MPa</w:t>
      </w:r>
      <w:proofErr w:type="spellEnd"/>
      <w:r w:rsidRPr="00126721">
        <w:t>, R</w:t>
      </w:r>
      <w:r w:rsidRPr="00126721">
        <w:rPr>
          <w:vertAlign w:val="subscript"/>
        </w:rPr>
        <w:t>28</w:t>
      </w:r>
      <w:r w:rsidRPr="00126721">
        <w:t xml:space="preserve"> = 14 </w:t>
      </w:r>
      <w:proofErr w:type="spellStart"/>
      <w:r w:rsidRPr="00126721">
        <w:t>MPa</w:t>
      </w:r>
      <w:proofErr w:type="spellEnd"/>
      <w:r w:rsidRPr="00126721">
        <w:t xml:space="preserve">. </w:t>
      </w:r>
    </w:p>
    <w:p w:rsidR="000302C0" w:rsidRPr="00126721" w:rsidRDefault="000302C0" w:rsidP="000302C0">
      <w:pPr>
        <w:keepNext/>
        <w:spacing w:before="120" w:after="120"/>
        <w:ind w:right="-709"/>
        <w:outlineLvl w:val="1"/>
        <w:rPr>
          <w:b/>
        </w:rPr>
      </w:pPr>
      <w:bookmarkStart w:id="46" w:name="_Toc266956759"/>
      <w:bookmarkStart w:id="47" w:name="_Toc266958433"/>
      <w:r w:rsidRPr="00126721">
        <w:rPr>
          <w:b/>
        </w:rPr>
        <w:t>5.5. Układanie nawierzchni z kostki kamiennej</w:t>
      </w:r>
      <w:bookmarkEnd w:id="46"/>
      <w:bookmarkEnd w:id="47"/>
    </w:p>
    <w:p w:rsidR="000302C0" w:rsidRPr="00126721" w:rsidRDefault="000302C0" w:rsidP="000302C0">
      <w:pPr>
        <w:ind w:right="-709"/>
      </w:pPr>
      <w:r w:rsidRPr="00126721">
        <w:rPr>
          <w:b/>
        </w:rPr>
        <w:t xml:space="preserve">5.5.1. </w:t>
      </w:r>
      <w:r w:rsidRPr="00126721">
        <w:t>Układanie kostki regularnej</w:t>
      </w:r>
    </w:p>
    <w:p w:rsidR="000302C0" w:rsidRPr="00126721" w:rsidRDefault="000302C0" w:rsidP="000302C0">
      <w:pPr>
        <w:spacing w:before="120"/>
        <w:ind w:right="-709"/>
      </w:pPr>
      <w:r w:rsidRPr="00126721">
        <w:t>Kostka regularna może być układana:</w:t>
      </w:r>
    </w:p>
    <w:p w:rsidR="000302C0" w:rsidRPr="00126721" w:rsidRDefault="000302C0" w:rsidP="000302C0">
      <w:pPr>
        <w:ind w:left="283" w:right="-709"/>
      </w:pPr>
      <w:r w:rsidRPr="00126721">
        <w:rPr>
          <w:rFonts w:ascii="Symbol" w:hAnsi="Symbol"/>
        </w:rPr>
        <w:t></w:t>
      </w:r>
      <w:r w:rsidRPr="00126721">
        <w:rPr>
          <w:sz w:val="14"/>
          <w:szCs w:val="14"/>
        </w:rPr>
        <w:t xml:space="preserve">      </w:t>
      </w:r>
      <w:r w:rsidRPr="00126721">
        <w:t>w rzędy poprzeczne, prostopadłe do osi drogi,</w:t>
      </w:r>
    </w:p>
    <w:p w:rsidR="000302C0" w:rsidRPr="00126721" w:rsidRDefault="000302C0" w:rsidP="000302C0">
      <w:pPr>
        <w:ind w:left="283" w:right="-709"/>
      </w:pPr>
      <w:r w:rsidRPr="00126721">
        <w:rPr>
          <w:rFonts w:ascii="Symbol" w:hAnsi="Symbol"/>
        </w:rPr>
        <w:t></w:t>
      </w:r>
      <w:r w:rsidRPr="00126721">
        <w:rPr>
          <w:sz w:val="14"/>
          <w:szCs w:val="14"/>
        </w:rPr>
        <w:t xml:space="preserve">      </w:t>
      </w:r>
      <w:r w:rsidRPr="00126721">
        <w:t>w rzędy ukośne, pod kątem 45</w:t>
      </w:r>
      <w:r w:rsidRPr="00126721">
        <w:rPr>
          <w:vertAlign w:val="superscript"/>
        </w:rPr>
        <w:t>o</w:t>
      </w:r>
      <w:r w:rsidRPr="00126721">
        <w:t xml:space="preserve"> do osi drogi,</w:t>
      </w:r>
    </w:p>
    <w:p w:rsidR="000302C0" w:rsidRPr="00126721" w:rsidRDefault="000302C0" w:rsidP="000302C0">
      <w:pPr>
        <w:ind w:left="283" w:right="-709"/>
      </w:pPr>
      <w:r w:rsidRPr="00126721">
        <w:rPr>
          <w:rFonts w:ascii="Symbol" w:hAnsi="Symbol"/>
        </w:rPr>
        <w:t></w:t>
      </w:r>
      <w:r w:rsidRPr="00126721">
        <w:rPr>
          <w:sz w:val="14"/>
          <w:szCs w:val="14"/>
        </w:rPr>
        <w:t xml:space="preserve">      </w:t>
      </w:r>
      <w:r w:rsidRPr="00126721">
        <w:t>w jodełkę.</w:t>
      </w:r>
    </w:p>
    <w:p w:rsidR="000302C0" w:rsidRPr="00126721" w:rsidRDefault="000302C0" w:rsidP="000302C0">
      <w:pPr>
        <w:ind w:right="-709"/>
      </w:pPr>
      <w:r w:rsidRPr="00126721">
        <w:t xml:space="preserve">Deseń nawierzchni z kostki regularnej powinien być dostosowany do wymiarów kostki. Kostki duże o wysokości kostki od 16 do </w:t>
      </w:r>
      <w:smartTag w:uri="urn:schemas-microsoft-com:office:smarttags" w:element="metricconverter">
        <w:smartTagPr>
          <w:attr w:name="ProductID" w:val="18 cm"/>
        </w:smartTagPr>
        <w:r w:rsidRPr="00126721">
          <w:t>18 cm</w:t>
        </w:r>
      </w:smartTag>
      <w:r w:rsidRPr="00126721">
        <w:t xml:space="preserve"> powinny być układane w rzędy poprzeczne. Kostki średnie o wysokości od 12 do </w:t>
      </w:r>
      <w:smartTag w:uri="urn:schemas-microsoft-com:office:smarttags" w:element="metricconverter">
        <w:smartTagPr>
          <w:attr w:name="ProductID" w:val="14 cm"/>
        </w:smartTagPr>
        <w:r w:rsidRPr="00126721">
          <w:t>14 cm</w:t>
        </w:r>
      </w:smartTag>
      <w:r w:rsidRPr="00126721">
        <w:t xml:space="preserve"> oraz kostki małe, o wysokości od 8 do </w:t>
      </w:r>
      <w:smartTag w:uri="urn:schemas-microsoft-com:office:smarttags" w:element="metricconverter">
        <w:smartTagPr>
          <w:attr w:name="ProductID" w:val="10 cm"/>
        </w:smartTagPr>
        <w:r w:rsidRPr="00126721">
          <w:t>10 cm</w:t>
        </w:r>
      </w:smartTag>
      <w:r w:rsidRPr="00126721">
        <w:t>, mogą być układane w rzędy poprzeczne, w rzędy ukośne lub w jodełkę.</w:t>
      </w:r>
    </w:p>
    <w:p w:rsidR="000302C0" w:rsidRPr="00126721" w:rsidRDefault="000302C0" w:rsidP="000302C0">
      <w:pPr>
        <w:ind w:right="-709"/>
      </w:pPr>
      <w:r w:rsidRPr="00126721">
        <w:t>Układanie kostek przy krawężnikach wymaga stosowania kostek regularnych łącznikowych dla uzyskania mijania się spoin w kierunku podłużnym.</w:t>
      </w:r>
    </w:p>
    <w:p w:rsidR="000302C0" w:rsidRPr="00126721" w:rsidRDefault="000302C0" w:rsidP="000302C0">
      <w:pPr>
        <w:spacing w:before="120"/>
        <w:ind w:right="-709"/>
      </w:pPr>
      <w:r w:rsidRPr="00126721">
        <w:rPr>
          <w:b/>
        </w:rPr>
        <w:t xml:space="preserve">5.5.3. </w:t>
      </w:r>
      <w:r w:rsidRPr="00126721">
        <w:t>Szczeliny dylatacyjne</w:t>
      </w:r>
    </w:p>
    <w:p w:rsidR="000302C0" w:rsidRPr="00126721" w:rsidRDefault="000302C0" w:rsidP="000302C0">
      <w:pPr>
        <w:spacing w:before="120"/>
        <w:ind w:right="-709"/>
      </w:pPr>
      <w:r w:rsidRPr="00126721">
        <w:t xml:space="preserve">Szczeliny dylatacyjne poprzeczne należy stosować w nawierzchniach z kostki na zaprawie cementowej w odległości od 10 do </w:t>
      </w:r>
      <w:smartTag w:uri="urn:schemas-microsoft-com:office:smarttags" w:element="metricconverter">
        <w:smartTagPr>
          <w:attr w:name="ProductID" w:val="15 m"/>
        </w:smartTagPr>
        <w:r w:rsidRPr="00126721">
          <w:t>15 m</w:t>
        </w:r>
      </w:smartTag>
      <w:r w:rsidRPr="00126721">
        <w:t xml:space="preserve"> oraz w takich miejscach, w których występuje dylatacja podbudowy lub zmiana sztywności podłoża.</w:t>
      </w:r>
    </w:p>
    <w:p w:rsidR="000302C0" w:rsidRPr="00126721" w:rsidRDefault="000302C0" w:rsidP="000302C0">
      <w:pPr>
        <w:ind w:right="-709"/>
      </w:pPr>
      <w:r w:rsidRPr="00126721">
        <w:t xml:space="preserve">Szczeliny podłużne należy stosować przy ściekach na jezdniach wszelkich szerokości oraz pośrodku jezdni, jeżeli szerokość jej przekracza </w:t>
      </w:r>
      <w:smartTag w:uri="urn:schemas-microsoft-com:office:smarttags" w:element="metricconverter">
        <w:smartTagPr>
          <w:attr w:name="ProductID" w:val="10 m"/>
        </w:smartTagPr>
        <w:r w:rsidRPr="00126721">
          <w:t>10 m</w:t>
        </w:r>
      </w:smartTag>
      <w:r w:rsidRPr="00126721">
        <w:t xml:space="preserve"> lub w przypadku układania nawierzchni połową szerokości jezdni.</w:t>
      </w:r>
    </w:p>
    <w:p w:rsidR="000302C0" w:rsidRPr="00126721" w:rsidRDefault="000302C0" w:rsidP="000302C0">
      <w:pPr>
        <w:ind w:right="-709"/>
      </w:pPr>
      <w:r w:rsidRPr="00126721">
        <w:t xml:space="preserve">Przy układaniu nawierzchni z kostki na podbudowie betonowej - na podsypce cementowo-żwirowej z zalaniem spoin zaprawą cementowo-piaskową, szczeliny dylatacyjne warstwy jezdnej należy wykonywać nad szczelinami podbudowy. Szerokość szczelin dylatacyjnych powinna wynosić od 8 do </w:t>
      </w:r>
      <w:smartTag w:uri="urn:schemas-microsoft-com:office:smarttags" w:element="metricconverter">
        <w:smartTagPr>
          <w:attr w:name="ProductID" w:val="12 mm"/>
        </w:smartTagPr>
        <w:r w:rsidRPr="00126721">
          <w:t xml:space="preserve">12 </w:t>
        </w:r>
        <w:proofErr w:type="spellStart"/>
        <w:r w:rsidRPr="00126721">
          <w:t>mm</w:t>
        </w:r>
      </w:smartTag>
      <w:proofErr w:type="spellEnd"/>
      <w:r w:rsidRPr="00126721">
        <w:t>.</w:t>
      </w:r>
    </w:p>
    <w:p w:rsidR="000302C0" w:rsidRPr="00126721" w:rsidRDefault="000302C0" w:rsidP="000302C0">
      <w:pPr>
        <w:spacing w:before="120"/>
        <w:ind w:right="-709"/>
      </w:pPr>
      <w:r w:rsidRPr="00126721">
        <w:rPr>
          <w:b/>
        </w:rPr>
        <w:t xml:space="preserve">5.5.4. </w:t>
      </w:r>
      <w:r w:rsidRPr="00126721">
        <w:t>Warunki przystąpienia do robót</w:t>
      </w:r>
    </w:p>
    <w:p w:rsidR="000302C0" w:rsidRPr="00126721" w:rsidRDefault="000302C0" w:rsidP="000302C0">
      <w:pPr>
        <w:ind w:right="-709"/>
      </w:pPr>
      <w:r w:rsidRPr="00126721">
        <w:t>Kostkę na zaprawie cementowo-piaskowej można układać bez środków ochronnych przed mrozem, jeżeli temperatura otoczenia jest +5</w:t>
      </w:r>
      <w:r w:rsidRPr="00126721">
        <w:rPr>
          <w:vertAlign w:val="superscript"/>
        </w:rPr>
        <w:t>o</w:t>
      </w:r>
      <w:r w:rsidRPr="00126721">
        <w:t>C lub wyższa. Nie należy układać kostki w temperaturze 0</w:t>
      </w:r>
      <w:r w:rsidRPr="00126721">
        <w:rPr>
          <w:vertAlign w:val="superscript"/>
        </w:rPr>
        <w:t>o</w:t>
      </w:r>
      <w:r w:rsidRPr="00126721">
        <w:t>C lub niższej. Jeżeli w ciągu dnia temperatura utrzymuje się w granicach od 0 do +5</w:t>
      </w:r>
      <w:r w:rsidRPr="00126721">
        <w:rPr>
          <w:vertAlign w:val="superscript"/>
        </w:rPr>
        <w:t>o</w:t>
      </w:r>
      <w:r w:rsidRPr="00126721">
        <w:t>C, a w nocy spodziewane są przymrozki, kostkę należy zabezpieczyć przez nakrycie materiałem o złym przewodnictwie cieplnym.</w:t>
      </w:r>
    </w:p>
    <w:p w:rsidR="000302C0" w:rsidRPr="00126721" w:rsidRDefault="000302C0" w:rsidP="000302C0">
      <w:pPr>
        <w:spacing w:before="120"/>
        <w:ind w:right="-709"/>
      </w:pPr>
      <w:r w:rsidRPr="00126721">
        <w:rPr>
          <w:b/>
        </w:rPr>
        <w:t xml:space="preserve">5.5.5. </w:t>
      </w:r>
      <w:r w:rsidRPr="00126721">
        <w:t>Ubijanie kostki</w:t>
      </w:r>
    </w:p>
    <w:p w:rsidR="000302C0" w:rsidRDefault="000302C0" w:rsidP="000302C0">
      <w:pPr>
        <w:spacing w:before="120"/>
        <w:ind w:right="-709"/>
      </w:pPr>
      <w:r>
        <w:t xml:space="preserve">  Sposób ubijania kostki powinien być dostosowany do rodzaju podsypki oraz materiału do wypełnienia spoin.</w:t>
      </w:r>
    </w:p>
    <w:p w:rsidR="000302C0" w:rsidRDefault="000302C0" w:rsidP="000302C0">
      <w:pPr>
        <w:spacing w:before="120"/>
        <w:ind w:right="-709"/>
      </w:pPr>
      <w:r>
        <w:t xml:space="preserve">a)     Kostkę na podsypce żwirowej lub piaskowej przy wypełnieniu spoin żwirem lub piaskiem należy ubijać trzykrotnie. Pierwsze ubicie ma na celu osadzenie kostek w podsypce i wypełnienie dolnych części spoin materiałem z podsypki. Obniżenie kostki w czasie pierwszego ubijania powinno wynosić od 1,5 do 2,0 </w:t>
      </w:r>
      <w:proofErr w:type="spellStart"/>
      <w:r>
        <w:t>cm</w:t>
      </w:r>
      <w:proofErr w:type="spellEnd"/>
      <w:r>
        <w:t>. Ułożoną nawierzchnię z kostki zasypuje się mieszaniną piasku i żwiru o uziarnieniu od 0 do 4 mm, polewa wodą i szczotkami wprowadza się kruszywo w spoiny. Po wypełnieniu spoin trzeba nawierzchnię oczyścić szczotkami, aby każda kostka była widoczna, po czym należy przystąpić do ubijania. Ubijanie kostek wykonuje się ubijakami stalowymi o ciężarze około 30 kg, uderzając ubijakiem każdą kostkę oddzielnie. Ubijanie w przekroju poprzecznym prowadzi się od krawężnika do środka jezdni. Drugie ubicie należy poprzedzić uzupełnieniem spoin i polać wodą. Trzecie ubicie ma na celu doprowadzenie nawierzchni kostkowej do wymaganego przekroju poprzecznego i podłużnego jezdni. Zamiast trzeciego ubijania można stosować wałowanie walcem o masie do 10 t - najpierw w kierunku podłużnym, postępując od krawężników w kierunku osi, a następnie w kierunku poprzecznym.</w:t>
      </w:r>
    </w:p>
    <w:p w:rsidR="000302C0" w:rsidRDefault="000302C0" w:rsidP="000302C0">
      <w:pPr>
        <w:spacing w:before="120"/>
        <w:ind w:right="-709"/>
      </w:pPr>
      <w:r>
        <w:t>b)    Kostkę na podsypce żwirowo-cementowej przy wypełnianiu spoin zaprawą cementowo-piaskową, należy ubijać dwukrotnie. Pierwsze mocne ubicie powinno nastąpić przed zalaniem spoin i spowodować obniżenie kostek do wymaganej niwelety. Drugie - lekkie ubicie, ma na celu doprowadzenie ubijanej powierzchni kostek do wymaganego przekroju poprzecznego jezdni. Drugi ubicie następuje bezpośrednio po zalaniu spoin zaprawą cementowo-piaskową. Zamiast drugiego ubijania można stosować wibratory płytowe lub lekkie walce wibracyjne.</w:t>
      </w:r>
    </w:p>
    <w:p w:rsidR="000302C0" w:rsidRDefault="000302C0" w:rsidP="000302C0">
      <w:pPr>
        <w:spacing w:before="120"/>
        <w:ind w:right="-709"/>
      </w:pPr>
      <w:r>
        <w:t>c)     Kostkę na podsypce żwirowej przy wypełnieniu spoin masą zalewową należy ubijać trzykrotnie. Spoiny zalewa się po całkowitym trzykrotnym ubiciu nawierzchni. Kostki, które pękną podczas ubijania powinny być wymienione na całe. Ostatni rząd kostek na zakończenie działki roboczej, przy ubijaniu należy zabezpieczyć przed przesunięciem za pomocą np. belki drewnianej umocowanej szpilkami stalowymi w podłożu.</w:t>
      </w:r>
    </w:p>
    <w:p w:rsidR="000302C0" w:rsidRPr="00126721" w:rsidRDefault="000302C0" w:rsidP="000302C0">
      <w:pPr>
        <w:spacing w:before="120"/>
        <w:ind w:right="-709"/>
      </w:pPr>
      <w:r w:rsidRPr="00126721">
        <w:rPr>
          <w:b/>
        </w:rPr>
        <w:t xml:space="preserve">5.5.6 </w:t>
      </w:r>
      <w:r w:rsidRPr="00126721">
        <w:t>Wypełnienie spoin</w:t>
      </w:r>
    </w:p>
    <w:p w:rsidR="000302C0" w:rsidRDefault="000302C0" w:rsidP="000302C0">
      <w:pPr>
        <w:ind w:right="-709"/>
      </w:pPr>
      <w:r w:rsidRPr="00126721">
        <w:tab/>
      </w:r>
      <w:r>
        <w:t>Zaprawę cementowo-piaskową można stosować przy nawierzchniach z kostki każdego typu układanej na podsypce cementowo-żwirowej. Bitumiczną masę zalewową należy stosować przy nawierzchniach z kostki nieregularnej układanej na podsypce bitumiczno-żwirowej, żwirowej lub piaskowej. Wypełnienie spoin piaskiem można stosować przy nawierzchniach z kostki nieregularnej układanej na podsypce żwirowej lub piaskowej.</w:t>
      </w:r>
    </w:p>
    <w:p w:rsidR="000302C0" w:rsidRDefault="000302C0" w:rsidP="000302C0">
      <w:pPr>
        <w:ind w:right="-709"/>
      </w:pPr>
      <w:r>
        <w:t>Wypełnienie spoin zaprawą cementowo-piaskową powinno być wykonane z zachowaniem następujących wymagań:</w:t>
      </w:r>
    </w:p>
    <w:p w:rsidR="000302C0" w:rsidRDefault="000302C0" w:rsidP="000302C0">
      <w:pPr>
        <w:ind w:right="-709"/>
      </w:pPr>
      <w:r>
        <w:t xml:space="preserve">-      piasek powinien odpowiadać wymaganiom wg </w:t>
      </w:r>
      <w:proofErr w:type="spellStart"/>
      <w:r>
        <w:t>pkt</w:t>
      </w:r>
      <w:proofErr w:type="spellEnd"/>
      <w:r>
        <w:t xml:space="preserve"> 2.5,</w:t>
      </w:r>
    </w:p>
    <w:p w:rsidR="000302C0" w:rsidRDefault="000302C0" w:rsidP="000302C0">
      <w:pPr>
        <w:ind w:right="-709"/>
      </w:pPr>
      <w:r>
        <w:t xml:space="preserve">-      cement powinien odpowiadać wymaganiom wg </w:t>
      </w:r>
      <w:proofErr w:type="spellStart"/>
      <w:r>
        <w:t>pkt</w:t>
      </w:r>
      <w:proofErr w:type="spellEnd"/>
      <w:r>
        <w:t xml:space="preserve"> 2.4,</w:t>
      </w:r>
    </w:p>
    <w:p w:rsidR="000302C0" w:rsidRDefault="000302C0" w:rsidP="000302C0">
      <w:pPr>
        <w:ind w:right="-709"/>
      </w:pPr>
      <w:r>
        <w:t xml:space="preserve">-      wytrzymałość zaprawy na ściskanie powinna wynosić nie mniej niż 30 </w:t>
      </w:r>
      <w:proofErr w:type="spellStart"/>
      <w:r>
        <w:t>MPa</w:t>
      </w:r>
      <w:proofErr w:type="spellEnd"/>
      <w:r>
        <w:t>,</w:t>
      </w:r>
    </w:p>
    <w:p w:rsidR="000302C0" w:rsidRDefault="000302C0" w:rsidP="000302C0">
      <w:pPr>
        <w:ind w:right="-709"/>
      </w:pPr>
      <w:r>
        <w:lastRenderedPageBreak/>
        <w:t>-      przed rozpoczęciem zalewania kostka powinna być oczyszczona i dobrze zwilżona wodą z dodatkiem 1% cementu w stosunku objętościowym,</w:t>
      </w:r>
    </w:p>
    <w:p w:rsidR="000302C0" w:rsidRDefault="000302C0" w:rsidP="000302C0">
      <w:pPr>
        <w:ind w:right="-709"/>
      </w:pPr>
      <w:r>
        <w:t>-      głębokość wypełnienia spoin zaprawą cementowo-piaskową powinna wynosić około 5 cm,</w:t>
      </w:r>
    </w:p>
    <w:p w:rsidR="000302C0" w:rsidRDefault="000302C0" w:rsidP="000302C0">
      <w:pPr>
        <w:ind w:right="-709"/>
      </w:pPr>
      <w:r>
        <w:t>-      zaprawa cementowo-piaskowa powinna całkowicie wypełnić spoiny i tworzyć monolit z kostką.</w:t>
      </w:r>
    </w:p>
    <w:p w:rsidR="000302C0" w:rsidRDefault="000302C0" w:rsidP="000302C0">
      <w:pPr>
        <w:ind w:right="-709"/>
      </w:pPr>
    </w:p>
    <w:p w:rsidR="000302C0" w:rsidRDefault="000302C0" w:rsidP="000302C0">
      <w:pPr>
        <w:ind w:right="-709"/>
      </w:pPr>
      <w:r>
        <w:t>Wypełnienie spoin masą zalewową powinno być wykonane z zachowaniem następujących wymagań:</w:t>
      </w:r>
    </w:p>
    <w:p w:rsidR="000302C0" w:rsidRDefault="000302C0" w:rsidP="000302C0">
      <w:pPr>
        <w:ind w:right="-709"/>
      </w:pPr>
      <w:r>
        <w:t xml:space="preserve">-      masa zalewowa powinna odpowiadać wymaganiom wg </w:t>
      </w:r>
      <w:proofErr w:type="spellStart"/>
      <w:r>
        <w:t>pkt</w:t>
      </w:r>
      <w:proofErr w:type="spellEnd"/>
      <w:r>
        <w:t xml:space="preserve"> 2.7,</w:t>
      </w:r>
    </w:p>
    <w:p w:rsidR="000302C0" w:rsidRDefault="000302C0" w:rsidP="000302C0">
      <w:pPr>
        <w:ind w:right="-709"/>
      </w:pPr>
      <w:r>
        <w:t>-      spoiny przed zalaniem masą zalewową powinny być suche i dokładnie oczyszczone na głębokość około 5 cm,</w:t>
      </w:r>
    </w:p>
    <w:p w:rsidR="000302C0" w:rsidRDefault="000302C0" w:rsidP="000302C0">
      <w:pPr>
        <w:ind w:right="-709"/>
      </w:pPr>
      <w:r>
        <w:t>-      bezpośrednio przed zalaniem masa powinna być podgrzana do temperatury od 150 do 180oC,</w:t>
      </w:r>
    </w:p>
    <w:p w:rsidR="000302C0" w:rsidRDefault="000302C0" w:rsidP="000302C0">
      <w:pPr>
        <w:ind w:right="-709"/>
      </w:pPr>
      <w:r>
        <w:t>-      masa powinna dokładnie wypełniać spoiny i wykazywać dobrą przyczepność do kostek.</w:t>
      </w:r>
    </w:p>
    <w:p w:rsidR="000302C0" w:rsidRDefault="000302C0" w:rsidP="000302C0">
      <w:pPr>
        <w:ind w:right="-709"/>
      </w:pPr>
      <w:r>
        <w:t>Wypełnianie spoin przez zamulanie piaskiem powinno być wykonane z zachowaniem następujących wymagań:</w:t>
      </w:r>
    </w:p>
    <w:p w:rsidR="000302C0" w:rsidRDefault="000302C0" w:rsidP="000302C0">
      <w:pPr>
        <w:ind w:right="-709"/>
      </w:pPr>
      <w:r>
        <w:t xml:space="preserve">-      piasek powinien odpowiadać wymaganiom wg </w:t>
      </w:r>
      <w:proofErr w:type="spellStart"/>
      <w:r>
        <w:t>pkt</w:t>
      </w:r>
      <w:proofErr w:type="spellEnd"/>
      <w:r>
        <w:t xml:space="preserve"> 2.5,</w:t>
      </w:r>
    </w:p>
    <w:p w:rsidR="000302C0" w:rsidRPr="00126721" w:rsidRDefault="000302C0" w:rsidP="000302C0">
      <w:pPr>
        <w:ind w:right="-709"/>
      </w:pPr>
      <w:r>
        <w:t>-      w czasie zamulania piasek powinien być obficie polewany wodą, aby wypełnił całkowicie spoiny.</w:t>
      </w:r>
    </w:p>
    <w:p w:rsidR="000302C0" w:rsidRPr="00126721" w:rsidRDefault="000302C0" w:rsidP="000302C0">
      <w:pPr>
        <w:keepNext/>
        <w:spacing w:before="120" w:after="120"/>
        <w:ind w:right="-709"/>
        <w:outlineLvl w:val="1"/>
        <w:rPr>
          <w:b/>
        </w:rPr>
      </w:pPr>
      <w:bookmarkStart w:id="48" w:name="_Toc266956760"/>
      <w:bookmarkStart w:id="49" w:name="_Toc266958434"/>
      <w:r w:rsidRPr="00126721">
        <w:rPr>
          <w:b/>
        </w:rPr>
        <w:t>5.6. Pielęgnacja nawierzchni</w:t>
      </w:r>
      <w:bookmarkEnd w:id="48"/>
      <w:bookmarkEnd w:id="49"/>
    </w:p>
    <w:p w:rsidR="000302C0" w:rsidRPr="009F23E9" w:rsidRDefault="000302C0" w:rsidP="000302C0">
      <w:pPr>
        <w:ind w:right="-709"/>
      </w:pPr>
      <w:r w:rsidRPr="009F23E9">
        <w:t>Sposób pielęgnacji nawierzchni zależy od rodzaju wypełnienia spoin i od rodzaju podsypki.</w:t>
      </w:r>
    </w:p>
    <w:p w:rsidR="000302C0" w:rsidRPr="009F23E9" w:rsidRDefault="000302C0" w:rsidP="000302C0">
      <w:pPr>
        <w:ind w:right="-709"/>
      </w:pPr>
      <w:r w:rsidRPr="009F23E9">
        <w:t>Pielęgnacja nawierzchni kostkowej, której spoiny są wypełnione zaprawą cementowo-piaskową polega na polaniu nawierzchni wodą w kilka godzin po zalaniu spoin i utrzymaniu jej w stałej wilgotności przez okres jednej doby. Następnie nawierzchnię należy przykryć piaskiem i utrzymywać w stałej wilgotności przez okres 7 dni. Po upływie od 2 do 3 tygodni - w zależności od warunków atmosferycznych, nawierzchnię należy oczyścić dokładnie z piasku i można oddać do ruchu.</w:t>
      </w:r>
    </w:p>
    <w:p w:rsidR="000302C0" w:rsidRPr="009F23E9" w:rsidRDefault="000302C0" w:rsidP="000302C0">
      <w:pPr>
        <w:ind w:right="-709"/>
      </w:pPr>
      <w:r w:rsidRPr="009F23E9">
        <w:t>Nawierzchnia kostkowa, której spoiny zostały wypełnione masą zalewową, może być oddana do ruchu bezpośrednio po wykonaniu, bez czynności pielęgnacyjnych.</w:t>
      </w:r>
    </w:p>
    <w:p w:rsidR="000302C0" w:rsidRPr="009F23E9" w:rsidRDefault="000302C0" w:rsidP="000302C0">
      <w:pPr>
        <w:ind w:right="-709"/>
      </w:pPr>
      <w:r w:rsidRPr="009F23E9">
        <w:t>Nawierzchnia kostkowa, której spoiny zostały wypełnione piaskiem i pokryte warstwą piasku, można oddać natychmiast do ruchu. Piasek podczas ruchu wypełnia spoiny i po kilku dniach pielęgnację nawierzchni można uznać za ukończoną.</w:t>
      </w:r>
    </w:p>
    <w:p w:rsidR="000302C0" w:rsidRPr="00126721" w:rsidRDefault="000302C0" w:rsidP="000302C0">
      <w:pPr>
        <w:keepNext/>
        <w:keepLines/>
        <w:suppressAutoHyphens/>
        <w:spacing w:before="120" w:after="120"/>
        <w:ind w:right="-709"/>
        <w:outlineLvl w:val="0"/>
        <w:rPr>
          <w:b/>
          <w:caps/>
          <w:kern w:val="28"/>
        </w:rPr>
      </w:pPr>
      <w:bookmarkStart w:id="50" w:name="_Toc266956761"/>
      <w:bookmarkStart w:id="51" w:name="_Toc266958435"/>
      <w:r w:rsidRPr="00126721">
        <w:rPr>
          <w:b/>
          <w:caps/>
          <w:kern w:val="28"/>
        </w:rPr>
        <w:t>6. kontrola jakości robót</w:t>
      </w:r>
      <w:bookmarkEnd w:id="50"/>
      <w:bookmarkEnd w:id="51"/>
    </w:p>
    <w:p w:rsidR="000302C0" w:rsidRPr="00126721" w:rsidRDefault="000302C0" w:rsidP="000302C0">
      <w:pPr>
        <w:keepNext/>
        <w:spacing w:before="120" w:after="120"/>
        <w:ind w:right="-709"/>
        <w:outlineLvl w:val="1"/>
        <w:rPr>
          <w:b/>
        </w:rPr>
      </w:pPr>
      <w:bookmarkStart w:id="52" w:name="_Toc266956762"/>
      <w:bookmarkStart w:id="53" w:name="_Toc266958436"/>
      <w:r w:rsidRPr="00126721">
        <w:rPr>
          <w:b/>
        </w:rPr>
        <w:t>6.1. Ogólne zasady kontroli jakości robót</w:t>
      </w:r>
      <w:bookmarkEnd w:id="52"/>
      <w:bookmarkEnd w:id="53"/>
    </w:p>
    <w:p w:rsidR="000302C0" w:rsidRPr="00126721" w:rsidRDefault="000302C0" w:rsidP="000302C0">
      <w:pPr>
        <w:ind w:right="-709"/>
      </w:pPr>
      <w:r w:rsidRPr="00126721">
        <w:t xml:space="preserve">   Ogólne zasady k</w:t>
      </w:r>
      <w:r>
        <w:t xml:space="preserve">ontroli jakości robót podano w </w:t>
      </w:r>
      <w:r w:rsidRPr="00126721">
        <w:t xml:space="preserve">ST D-M-00.00.00 „Wymagania ogólne” </w:t>
      </w:r>
      <w:proofErr w:type="spellStart"/>
      <w:r w:rsidRPr="00126721">
        <w:t>pkt</w:t>
      </w:r>
      <w:proofErr w:type="spellEnd"/>
      <w:r w:rsidRPr="00126721">
        <w:t xml:space="preserve"> 6.</w:t>
      </w:r>
    </w:p>
    <w:p w:rsidR="000302C0" w:rsidRPr="00126721" w:rsidRDefault="000302C0" w:rsidP="000302C0">
      <w:pPr>
        <w:keepNext/>
        <w:spacing w:before="120" w:after="120"/>
        <w:ind w:right="-709"/>
        <w:outlineLvl w:val="1"/>
        <w:rPr>
          <w:b/>
        </w:rPr>
      </w:pPr>
      <w:bookmarkStart w:id="54" w:name="_Toc266956763"/>
      <w:bookmarkStart w:id="55" w:name="_Toc266958437"/>
      <w:r w:rsidRPr="00126721">
        <w:rPr>
          <w:b/>
        </w:rPr>
        <w:t>6.2. Badania przed przystąpieniem do robót</w:t>
      </w:r>
      <w:bookmarkEnd w:id="54"/>
      <w:bookmarkEnd w:id="55"/>
    </w:p>
    <w:p w:rsidR="000302C0" w:rsidRPr="00126721" w:rsidRDefault="000302C0" w:rsidP="000302C0">
      <w:pPr>
        <w:ind w:right="-709"/>
      </w:pPr>
      <w:r w:rsidRPr="00126721">
        <w:t>Rodzaj i zakres badań dla kostek kamiennych powinien być zgodny z wymaganiami wg PN-EN 1342 [1]. Badanie zwykłe obejmuje sprawdzenie cech zewnętrznych i dopuszczalnych odchyłek, podanych w tablicy</w:t>
      </w:r>
      <w:r>
        <w:t xml:space="preserve"> 2,</w:t>
      </w:r>
      <w:r w:rsidRPr="00126721">
        <w:t>3</w:t>
      </w:r>
      <w:r>
        <w:t>,4</w:t>
      </w:r>
      <w:r w:rsidRPr="00126721">
        <w:t>. Badanie pełne obejmuje zakres badania zwykłego oraz sprawdzenie cech fizycznych i wytrzymałościowych podanych w tablicy 1. W skład partii przeznaczonej do badań powinny wchodzić kostki jednakowego typu, rodzaju klasy i wielkości. Z partii przeznaczonej do badań należy pobrać w sposób losowy próbkę składającą się z kostek drogowych w liczbie:</w:t>
      </w:r>
    </w:p>
    <w:p w:rsidR="000302C0" w:rsidRPr="00126721" w:rsidRDefault="000302C0" w:rsidP="000302C0">
      <w:pPr>
        <w:widowControl w:val="0"/>
        <w:numPr>
          <w:ilvl w:val="0"/>
          <w:numId w:val="1"/>
        </w:numPr>
        <w:tabs>
          <w:tab w:val="left" w:pos="283"/>
        </w:tabs>
        <w:suppressAutoHyphens/>
        <w:ind w:right="-709"/>
      </w:pPr>
      <w:r w:rsidRPr="00126721">
        <w:t>do badania zwykłego: 40 sztuk,</w:t>
      </w:r>
    </w:p>
    <w:p w:rsidR="000302C0" w:rsidRPr="00126721" w:rsidRDefault="000302C0" w:rsidP="000302C0">
      <w:pPr>
        <w:widowControl w:val="0"/>
        <w:numPr>
          <w:ilvl w:val="0"/>
          <w:numId w:val="1"/>
        </w:numPr>
        <w:tabs>
          <w:tab w:val="left" w:pos="283"/>
        </w:tabs>
        <w:suppressAutoHyphens/>
        <w:ind w:right="-709"/>
      </w:pPr>
      <w:r w:rsidRPr="00126721">
        <w:t>do badania cech podanych w tablicy 1: 6 sztuk.</w:t>
      </w:r>
    </w:p>
    <w:p w:rsidR="000302C0" w:rsidRPr="00126721" w:rsidRDefault="000302C0" w:rsidP="000302C0">
      <w:pPr>
        <w:ind w:right="-709"/>
      </w:pPr>
      <w:r w:rsidRPr="00126721">
        <w:t xml:space="preserve">Badania zwykłe należy przeprowadzać przy każdym sprawdzaniu zgodności partii z wymaganiami normy, badanie pełne przeprowadza się na żądanie odbiorcy. W badaniu zwykłym partię kostki należy uznać za zgodną z wymaganiami normy, jeżeli liczba sztuk niedobrych w zbadanej ilości kostek jest dla poszczególnych sprawdzań równa lub mniejsza od 4. W przypadku gdy liczba kostek niedobrych dla jednego sprawdzenia jest większa od 4, całą partię należy uznać za niezgodną z wymaganiami. W badaniu pełnym, partię kostki poddaną sprawdzeniu cech podanych w tablicy 1, należy uznać za zgodną z wymaganiami normy, jeżeli wszystkie sprawdzenia dadzą wynik dodatni. Jeżeli chociaż jedno ze sprawdzeń da wynik ujemny, całą partię należy uznać za niezgodną z wymaganiami. Badania pozostałych materiałów stosowanych do wykonania nawierzchni z kostek kamiennych, powinny obejmować wszystkie właściwości, które zostały określone w normach podanych dla odpowiednich  materiałów wg </w:t>
      </w:r>
      <w:proofErr w:type="spellStart"/>
      <w:r w:rsidRPr="00126721">
        <w:t>pkt</w:t>
      </w:r>
      <w:proofErr w:type="spellEnd"/>
      <w:r w:rsidRPr="00126721">
        <w:t xml:space="preserve"> od 2.3 do 2.7.</w:t>
      </w:r>
    </w:p>
    <w:p w:rsidR="000302C0" w:rsidRPr="00126721" w:rsidRDefault="000302C0" w:rsidP="000302C0">
      <w:pPr>
        <w:keepNext/>
        <w:spacing w:before="120" w:after="120"/>
        <w:ind w:right="-709"/>
        <w:outlineLvl w:val="1"/>
        <w:rPr>
          <w:b/>
        </w:rPr>
      </w:pPr>
      <w:bookmarkStart w:id="56" w:name="_Toc266956764"/>
      <w:bookmarkStart w:id="57" w:name="_Toc266958438"/>
      <w:r w:rsidRPr="00126721">
        <w:rPr>
          <w:b/>
        </w:rPr>
        <w:t>6.3. Badania w czasie robót</w:t>
      </w:r>
      <w:bookmarkEnd w:id="56"/>
      <w:bookmarkEnd w:id="57"/>
    </w:p>
    <w:p w:rsidR="000302C0" w:rsidRPr="00126721" w:rsidRDefault="000302C0" w:rsidP="000302C0">
      <w:pPr>
        <w:ind w:right="-709"/>
      </w:pPr>
      <w:r w:rsidRPr="00126721">
        <w:rPr>
          <w:b/>
        </w:rPr>
        <w:t xml:space="preserve">6.3.1. </w:t>
      </w:r>
      <w:r w:rsidRPr="00126721">
        <w:t>Sprawdzenie podsypki</w:t>
      </w:r>
    </w:p>
    <w:p w:rsidR="000302C0" w:rsidRPr="00126721" w:rsidRDefault="000302C0" w:rsidP="000302C0">
      <w:pPr>
        <w:ind w:right="-709"/>
      </w:pPr>
      <w:r w:rsidRPr="00126721">
        <w:t>Sprawdzenie podsypki polega na stwierdzeniu jej zgodności z dokumentacją projektową oraz z wymaganiami określonymi w p. 5.4.</w:t>
      </w:r>
    </w:p>
    <w:p w:rsidR="000302C0" w:rsidRPr="00126721" w:rsidRDefault="000302C0" w:rsidP="000302C0">
      <w:pPr>
        <w:spacing w:before="120"/>
        <w:ind w:right="-709"/>
      </w:pPr>
      <w:r w:rsidRPr="00126721">
        <w:rPr>
          <w:b/>
        </w:rPr>
        <w:t xml:space="preserve">6.3.2. </w:t>
      </w:r>
      <w:r w:rsidRPr="00126721">
        <w:t>Badanie prawidłowości układania kostki</w:t>
      </w:r>
    </w:p>
    <w:p w:rsidR="000302C0" w:rsidRPr="00126721" w:rsidRDefault="000302C0" w:rsidP="000302C0">
      <w:pPr>
        <w:spacing w:before="120"/>
        <w:ind w:right="-709"/>
      </w:pPr>
      <w:r w:rsidRPr="00126721">
        <w:t>Badanie prawidłowości układania kostki polega na:</w:t>
      </w:r>
    </w:p>
    <w:p w:rsidR="000302C0" w:rsidRPr="00126721" w:rsidRDefault="000302C0" w:rsidP="000302C0">
      <w:pPr>
        <w:widowControl w:val="0"/>
        <w:numPr>
          <w:ilvl w:val="0"/>
          <w:numId w:val="1"/>
        </w:numPr>
        <w:tabs>
          <w:tab w:val="left" w:pos="283"/>
        </w:tabs>
        <w:suppressAutoHyphens/>
        <w:ind w:right="-709"/>
      </w:pPr>
      <w:r w:rsidRPr="00126721">
        <w:t>zmierzeniu szerokości spoin oraz powiązania spoin i sprawdzeniu zgodności z p. 5.5.6,</w:t>
      </w:r>
    </w:p>
    <w:p w:rsidR="000302C0" w:rsidRPr="00126721" w:rsidRDefault="000302C0" w:rsidP="000302C0">
      <w:pPr>
        <w:widowControl w:val="0"/>
        <w:numPr>
          <w:ilvl w:val="0"/>
          <w:numId w:val="1"/>
        </w:numPr>
        <w:tabs>
          <w:tab w:val="left" w:pos="283"/>
        </w:tabs>
        <w:suppressAutoHyphens/>
        <w:ind w:right="-709"/>
      </w:pPr>
      <w:r w:rsidRPr="00126721">
        <w:t>zbadaniu rodzaju i gatunku użytej kostki, zgodnie z wymogami wg p. od 2.2.2 do 2.2.5,</w:t>
      </w:r>
    </w:p>
    <w:p w:rsidR="000302C0" w:rsidRPr="00126721" w:rsidRDefault="000302C0" w:rsidP="000302C0">
      <w:pPr>
        <w:widowControl w:val="0"/>
        <w:numPr>
          <w:ilvl w:val="0"/>
          <w:numId w:val="1"/>
        </w:numPr>
        <w:tabs>
          <w:tab w:val="left" w:pos="283"/>
        </w:tabs>
        <w:suppressAutoHyphens/>
        <w:ind w:right="-709"/>
      </w:pPr>
      <w:r w:rsidRPr="00126721">
        <w:t>sprawdzeniu prawidłowości wykonania szczelin dylatacyjnych zgodnie z p. 5.5.3.</w:t>
      </w:r>
    </w:p>
    <w:p w:rsidR="000302C0" w:rsidRPr="00126721" w:rsidRDefault="000302C0" w:rsidP="000302C0">
      <w:pPr>
        <w:ind w:right="-709"/>
      </w:pPr>
      <w:r w:rsidRPr="00126721">
        <w:t xml:space="preserve">Sprawdzenie wiązania kostki wykonuje się wyrywkowo w kilku miejscach przez oględziny nawierzchni i określenie czy wiązanie odpowiada wymaganiom wg p. 5.5. Ubicie kostki sprawdza się przez swobodne jednokrotne opuszczenie z wysokości </w:t>
      </w:r>
      <w:smartTag w:uri="urn:schemas-microsoft-com:office:smarttags" w:element="metricconverter">
        <w:smartTagPr>
          <w:attr w:name="ProductID" w:val="15 cm"/>
        </w:smartTagPr>
        <w:r w:rsidRPr="00126721">
          <w:t>15 cm</w:t>
        </w:r>
      </w:smartTag>
      <w:r w:rsidRPr="00126721">
        <w:t xml:space="preserve"> ubijaka o masie </w:t>
      </w:r>
      <w:smartTag w:uri="urn:schemas-microsoft-com:office:smarttags" w:element="metricconverter">
        <w:smartTagPr>
          <w:attr w:name="ProductID" w:val="25 kg"/>
        </w:smartTagPr>
        <w:r w:rsidRPr="00126721">
          <w:t>25 kg</w:t>
        </w:r>
      </w:smartTag>
      <w:r w:rsidRPr="00126721">
        <w:t xml:space="preserve"> na poszczególne kostki. Pod wpływem takiego uderzenia osiadanie kostek nie powinno być dostrzegane.</w:t>
      </w:r>
    </w:p>
    <w:p w:rsidR="000302C0" w:rsidRPr="00126721" w:rsidRDefault="000302C0" w:rsidP="000302C0">
      <w:pPr>
        <w:spacing w:before="120"/>
        <w:ind w:right="-709"/>
      </w:pPr>
      <w:r w:rsidRPr="00126721">
        <w:rPr>
          <w:b/>
        </w:rPr>
        <w:lastRenderedPageBreak/>
        <w:t xml:space="preserve">6.3.3. </w:t>
      </w:r>
      <w:r w:rsidRPr="00126721">
        <w:t>Sprawdzenie wypełnienia spoin</w:t>
      </w:r>
    </w:p>
    <w:p w:rsidR="000302C0" w:rsidRPr="008D6762" w:rsidRDefault="000302C0" w:rsidP="000302C0">
      <w:pPr>
        <w:keepNext/>
        <w:spacing w:before="120" w:after="120"/>
        <w:ind w:right="-709"/>
        <w:outlineLvl w:val="1"/>
      </w:pPr>
      <w:bookmarkStart w:id="58" w:name="_Toc266956765"/>
      <w:bookmarkStart w:id="59" w:name="_Toc266958439"/>
      <w:r w:rsidRPr="008D6762">
        <w:t>Badanie prawidłowości wypełnienia spoin polega na sprawdzeniu zgodności z wymaganiami zawartymi w p. 5.5.6.</w:t>
      </w:r>
      <w:r>
        <w:t xml:space="preserve"> </w:t>
      </w:r>
      <w:r w:rsidRPr="008D6762">
        <w:t>Sprawdzenie wypełnienia spoin wykonuje się co najmniej w pięciu dowolnie obranych miejscach na każdym kilometrze przez wykruszenie zaprawy na długości około</w:t>
      </w:r>
      <w:r>
        <w:t xml:space="preserve">  </w:t>
      </w:r>
      <w:r w:rsidRPr="008D6762">
        <w:t>10 cm i zmierzenie głębokości wypełnienia spoiny zaprawą, a przy zaprawie cementowo-piaskowej i masie zalewowej - również przez sprawdzenie przyczepności zaprawy lub masy zalewowej do kostki</w:t>
      </w:r>
    </w:p>
    <w:p w:rsidR="000302C0" w:rsidRPr="00126721" w:rsidRDefault="000302C0" w:rsidP="000302C0">
      <w:pPr>
        <w:keepNext/>
        <w:spacing w:before="120" w:after="120"/>
        <w:ind w:right="-709"/>
        <w:outlineLvl w:val="1"/>
        <w:rPr>
          <w:b/>
        </w:rPr>
      </w:pPr>
      <w:r w:rsidRPr="00126721">
        <w:rPr>
          <w:b/>
        </w:rPr>
        <w:t>6.4. Sprawdzenie cech geometrycznych nawierzchni</w:t>
      </w:r>
      <w:bookmarkEnd w:id="58"/>
      <w:bookmarkEnd w:id="59"/>
    </w:p>
    <w:p w:rsidR="000302C0" w:rsidRPr="00003D40" w:rsidRDefault="000302C0" w:rsidP="000302C0">
      <w:pPr>
        <w:spacing w:before="120"/>
        <w:ind w:right="-709"/>
      </w:pPr>
      <w:r w:rsidRPr="00003D40">
        <w:rPr>
          <w:b/>
        </w:rPr>
        <w:t>6.4.1.</w:t>
      </w:r>
      <w:r w:rsidRPr="00003D40">
        <w:t xml:space="preserve"> Równość</w:t>
      </w:r>
    </w:p>
    <w:p w:rsidR="000302C0" w:rsidRPr="00003D40" w:rsidRDefault="000302C0" w:rsidP="000302C0">
      <w:pPr>
        <w:spacing w:before="120"/>
        <w:ind w:right="-709"/>
      </w:pPr>
      <w:r w:rsidRPr="00003D40">
        <w:t xml:space="preserve">Nierówności podłużne nawierzchni należy mierzyć 4-metrową łatą lub </w:t>
      </w:r>
      <w:proofErr w:type="spellStart"/>
      <w:r w:rsidRPr="00003D40">
        <w:t>planografem</w:t>
      </w:r>
      <w:proofErr w:type="spellEnd"/>
      <w:r w:rsidRPr="00003D40">
        <w:t>, zgodnie z normą BN-68/8931-04 [18].</w:t>
      </w:r>
      <w:r>
        <w:t xml:space="preserve"> </w:t>
      </w:r>
      <w:r w:rsidRPr="00003D40">
        <w:t xml:space="preserve">Nierówności podłużne nawierzchni nie powinny przekraczać 1,0 </w:t>
      </w:r>
      <w:proofErr w:type="spellStart"/>
      <w:r w:rsidRPr="00003D40">
        <w:t>cm</w:t>
      </w:r>
      <w:proofErr w:type="spellEnd"/>
      <w:r w:rsidRPr="00003D40">
        <w:t>.</w:t>
      </w:r>
    </w:p>
    <w:p w:rsidR="000302C0" w:rsidRPr="00126721" w:rsidRDefault="000302C0" w:rsidP="000302C0">
      <w:pPr>
        <w:spacing w:before="120"/>
        <w:ind w:right="-709"/>
      </w:pPr>
      <w:r w:rsidRPr="00126721">
        <w:rPr>
          <w:b/>
        </w:rPr>
        <w:t xml:space="preserve">6.4.2. </w:t>
      </w:r>
      <w:r w:rsidRPr="00126721">
        <w:t>Spadki poprzeczne</w:t>
      </w:r>
    </w:p>
    <w:p w:rsidR="000302C0" w:rsidRPr="00126721" w:rsidRDefault="000302C0" w:rsidP="000302C0">
      <w:pPr>
        <w:ind w:right="-709"/>
      </w:pPr>
      <w:r w:rsidRPr="00126721">
        <w:t xml:space="preserve">Spadki poprzeczne nawierzchni powinny być zgodne z dokumentacją projektową z tolerancją </w:t>
      </w:r>
      <w:r w:rsidRPr="00126721">
        <w:rPr>
          <w:rFonts w:ascii="Symbol" w:hAnsi="Symbol"/>
        </w:rPr>
        <w:t></w:t>
      </w:r>
      <w:r w:rsidRPr="00126721">
        <w:t xml:space="preserve"> 0,5%.</w:t>
      </w:r>
    </w:p>
    <w:p w:rsidR="000302C0" w:rsidRPr="00126721" w:rsidRDefault="000302C0" w:rsidP="000302C0">
      <w:pPr>
        <w:spacing w:before="120"/>
        <w:ind w:right="-709"/>
      </w:pPr>
      <w:r w:rsidRPr="00126721">
        <w:rPr>
          <w:b/>
        </w:rPr>
        <w:t xml:space="preserve">6.4.3. </w:t>
      </w:r>
      <w:r w:rsidRPr="00126721">
        <w:t>Rzędne wysokościowe</w:t>
      </w:r>
    </w:p>
    <w:p w:rsidR="000302C0" w:rsidRPr="00126721" w:rsidRDefault="000302C0" w:rsidP="000302C0">
      <w:pPr>
        <w:ind w:right="-709"/>
      </w:pPr>
      <w:r w:rsidRPr="00126721">
        <w:t xml:space="preserve">Różnice pomiędzy rzędnymi wykonanej nawierzchni i rzędnymi projektowanymi </w:t>
      </w:r>
      <w:r w:rsidRPr="00126721">
        <w:br/>
        <w:t>nie powinny przekraczać +</w:t>
      </w:r>
      <w:smartTag w:uri="urn:schemas-microsoft-com:office:smarttags" w:element="metricconverter">
        <w:smartTagPr>
          <w:attr w:name="ProductID" w:val="1 cm"/>
        </w:smartTagPr>
        <w:r w:rsidRPr="00126721">
          <w:t>1 cm</w:t>
        </w:r>
      </w:smartTag>
      <w:r w:rsidRPr="00126721">
        <w:t xml:space="preserve"> i </w:t>
      </w:r>
      <w:smartTag w:uri="urn:schemas-microsoft-com:office:smarttags" w:element="metricconverter">
        <w:smartTagPr>
          <w:attr w:name="ProductID" w:val="-2 cm"/>
        </w:smartTagPr>
        <w:r w:rsidRPr="00126721">
          <w:t xml:space="preserve">-2 </w:t>
        </w:r>
        <w:proofErr w:type="spellStart"/>
        <w:r w:rsidRPr="00126721">
          <w:t>cm</w:t>
        </w:r>
      </w:smartTag>
      <w:proofErr w:type="spellEnd"/>
      <w:r w:rsidRPr="00126721">
        <w:t>.</w:t>
      </w:r>
    </w:p>
    <w:p w:rsidR="000302C0" w:rsidRPr="00126721" w:rsidRDefault="000302C0" w:rsidP="000302C0">
      <w:pPr>
        <w:spacing w:before="120"/>
        <w:ind w:right="-709"/>
      </w:pPr>
      <w:r w:rsidRPr="00126721">
        <w:rPr>
          <w:b/>
        </w:rPr>
        <w:t xml:space="preserve">6.4.4. </w:t>
      </w:r>
      <w:r w:rsidRPr="00126721">
        <w:t>Ukształtowanie osi</w:t>
      </w:r>
    </w:p>
    <w:p w:rsidR="000302C0" w:rsidRPr="00126721" w:rsidRDefault="000302C0" w:rsidP="000302C0">
      <w:pPr>
        <w:ind w:right="-709"/>
      </w:pPr>
      <w:r w:rsidRPr="00126721">
        <w:t xml:space="preserve">Oś nawierzchni w planie nie może być przesunięta w stosunku do osi projektowanej o więcej </w:t>
      </w:r>
      <w:r w:rsidRPr="00126721">
        <w:br/>
        <w:t xml:space="preserve">niż </w:t>
      </w:r>
      <w:r w:rsidRPr="00126721">
        <w:rPr>
          <w:rFonts w:ascii="Symbol" w:hAnsi="Symbol"/>
        </w:rPr>
        <w:t></w:t>
      </w:r>
      <w:r w:rsidRPr="00126721">
        <w:t xml:space="preserve"> </w:t>
      </w:r>
      <w:smartTag w:uri="urn:schemas-microsoft-com:office:smarttags" w:element="metricconverter">
        <w:smartTagPr>
          <w:attr w:name="ProductID" w:val="5 cm"/>
        </w:smartTagPr>
        <w:r w:rsidRPr="00126721">
          <w:t xml:space="preserve">5 </w:t>
        </w:r>
        <w:proofErr w:type="spellStart"/>
        <w:r w:rsidRPr="00126721">
          <w:t>cm</w:t>
        </w:r>
      </w:smartTag>
      <w:proofErr w:type="spellEnd"/>
      <w:r w:rsidRPr="00126721">
        <w:t>.</w:t>
      </w:r>
    </w:p>
    <w:p w:rsidR="000302C0" w:rsidRPr="00126721" w:rsidRDefault="000302C0" w:rsidP="000302C0">
      <w:pPr>
        <w:spacing w:before="120"/>
        <w:ind w:right="-709"/>
      </w:pPr>
      <w:r w:rsidRPr="00126721">
        <w:rPr>
          <w:b/>
        </w:rPr>
        <w:t xml:space="preserve">6.4.5. </w:t>
      </w:r>
      <w:r w:rsidRPr="00126721">
        <w:t>Szerokość nawierzchni</w:t>
      </w:r>
    </w:p>
    <w:p w:rsidR="000302C0" w:rsidRPr="00126721" w:rsidRDefault="000302C0" w:rsidP="000302C0">
      <w:pPr>
        <w:ind w:right="-709"/>
      </w:pPr>
      <w:r w:rsidRPr="00126721">
        <w:t xml:space="preserve">Szerokość nawierzchni nie może różnić się od szerokości projektowanej o więcej niż </w:t>
      </w:r>
      <w:r w:rsidRPr="00126721">
        <w:rPr>
          <w:rFonts w:ascii="Symbol" w:hAnsi="Symbol"/>
        </w:rPr>
        <w:t></w:t>
      </w:r>
      <w:r w:rsidRPr="00126721">
        <w:t xml:space="preserve"> </w:t>
      </w:r>
      <w:smartTag w:uri="urn:schemas-microsoft-com:office:smarttags" w:element="metricconverter">
        <w:smartTagPr>
          <w:attr w:name="ProductID" w:val="5 cm"/>
        </w:smartTagPr>
        <w:r w:rsidRPr="00126721">
          <w:t xml:space="preserve">5 </w:t>
        </w:r>
        <w:proofErr w:type="spellStart"/>
        <w:r w:rsidRPr="00126721">
          <w:t>cm</w:t>
        </w:r>
      </w:smartTag>
      <w:proofErr w:type="spellEnd"/>
      <w:r w:rsidRPr="00126721">
        <w:t>.</w:t>
      </w:r>
    </w:p>
    <w:p w:rsidR="000302C0" w:rsidRPr="00126721" w:rsidRDefault="000302C0" w:rsidP="000302C0">
      <w:pPr>
        <w:spacing w:before="120"/>
        <w:ind w:right="-709"/>
      </w:pPr>
      <w:r w:rsidRPr="00126721">
        <w:rPr>
          <w:b/>
        </w:rPr>
        <w:t xml:space="preserve">6.4.6. </w:t>
      </w:r>
      <w:r w:rsidRPr="00126721">
        <w:t>Grubość podsypki</w:t>
      </w:r>
    </w:p>
    <w:p w:rsidR="000302C0" w:rsidRPr="00126721" w:rsidRDefault="000302C0" w:rsidP="000302C0">
      <w:pPr>
        <w:ind w:right="-709"/>
      </w:pPr>
      <w:r w:rsidRPr="00126721">
        <w:t xml:space="preserve">Dopuszczalne odchyłki od projektowanej grubości podsypki nie powinny przekraczać </w:t>
      </w:r>
      <w:r w:rsidRPr="00126721">
        <w:rPr>
          <w:rFonts w:ascii="Symbol" w:hAnsi="Symbol"/>
        </w:rPr>
        <w:t></w:t>
      </w:r>
      <w:r w:rsidRPr="00126721">
        <w:t xml:space="preserve"> </w:t>
      </w:r>
      <w:smartTag w:uri="urn:schemas-microsoft-com:office:smarttags" w:element="metricconverter">
        <w:smartTagPr>
          <w:attr w:name="ProductID" w:val="1,0 cm"/>
        </w:smartTagPr>
        <w:r w:rsidRPr="00126721">
          <w:t xml:space="preserve">1,0 </w:t>
        </w:r>
        <w:proofErr w:type="spellStart"/>
        <w:r w:rsidRPr="00126721">
          <w:t>cm</w:t>
        </w:r>
      </w:smartTag>
      <w:proofErr w:type="spellEnd"/>
      <w:r w:rsidRPr="00126721">
        <w:t>.</w:t>
      </w:r>
    </w:p>
    <w:p w:rsidR="000302C0" w:rsidRPr="00126721" w:rsidRDefault="000302C0" w:rsidP="000302C0">
      <w:pPr>
        <w:spacing w:before="120"/>
        <w:ind w:right="-709"/>
      </w:pPr>
      <w:r w:rsidRPr="00126721">
        <w:rPr>
          <w:b/>
        </w:rPr>
        <w:t xml:space="preserve">6.4.7. </w:t>
      </w:r>
      <w:r w:rsidRPr="00126721">
        <w:t>Częstotliwość oraz zakres badań i pomiarów</w:t>
      </w:r>
    </w:p>
    <w:p w:rsidR="000302C0" w:rsidRPr="00126721" w:rsidRDefault="000302C0" w:rsidP="000302C0">
      <w:pPr>
        <w:ind w:right="-709"/>
      </w:pPr>
      <w:r w:rsidRPr="00126721">
        <w:t>Częstotliwość oraz zakres badań i pomiarów wykonanej nawierzchni z kostek kamiennych przedstawiono w tablicy 5.</w:t>
      </w:r>
    </w:p>
    <w:p w:rsidR="000302C0" w:rsidRPr="00126721" w:rsidRDefault="000302C0" w:rsidP="000302C0">
      <w:pPr>
        <w:spacing w:before="120"/>
        <w:ind w:right="-709"/>
      </w:pPr>
      <w:r w:rsidRPr="00126721">
        <w:t>Tablica 5. Częstotliwość i zakres badań cech geometrycznych nawierzchni</w:t>
      </w:r>
    </w:p>
    <w:tbl>
      <w:tblPr>
        <w:tblW w:w="0" w:type="auto"/>
        <w:jc w:val="center"/>
        <w:tblInd w:w="87" w:type="dxa"/>
        <w:tblLayout w:type="fixed"/>
        <w:tblCellMar>
          <w:left w:w="0" w:type="dxa"/>
          <w:right w:w="0" w:type="dxa"/>
        </w:tblCellMar>
        <w:tblLook w:val="0000"/>
      </w:tblPr>
      <w:tblGrid>
        <w:gridCol w:w="339"/>
        <w:gridCol w:w="2543"/>
        <w:gridCol w:w="4718"/>
      </w:tblGrid>
      <w:tr w:rsidR="000302C0" w:rsidRPr="00126721" w:rsidTr="00697F9A">
        <w:trPr>
          <w:cantSplit/>
          <w:jc w:val="center"/>
        </w:trPr>
        <w:tc>
          <w:tcPr>
            <w:tcW w:w="339" w:type="dxa"/>
            <w:tcBorders>
              <w:top w:val="single" w:sz="6" w:space="0" w:color="000000"/>
              <w:left w:val="single" w:sz="6" w:space="0" w:color="000000"/>
              <w:bottom w:val="double" w:sz="6" w:space="0" w:color="000000"/>
            </w:tcBorders>
          </w:tcPr>
          <w:p w:rsidR="000302C0" w:rsidRPr="00126721" w:rsidRDefault="000302C0" w:rsidP="000302C0">
            <w:pPr>
              <w:ind w:right="-709"/>
              <w:jc w:val="center"/>
            </w:pPr>
            <w:r w:rsidRPr="00126721">
              <w:t>Lp.</w:t>
            </w:r>
          </w:p>
        </w:tc>
        <w:tc>
          <w:tcPr>
            <w:tcW w:w="2543" w:type="dxa"/>
            <w:tcBorders>
              <w:top w:val="single" w:sz="6" w:space="0" w:color="000000"/>
              <w:left w:val="single" w:sz="6" w:space="0" w:color="000000"/>
              <w:bottom w:val="double" w:sz="6" w:space="0" w:color="000000"/>
            </w:tcBorders>
          </w:tcPr>
          <w:p w:rsidR="000302C0" w:rsidRPr="00126721" w:rsidRDefault="000302C0" w:rsidP="000302C0">
            <w:pPr>
              <w:ind w:right="-709"/>
              <w:jc w:val="center"/>
            </w:pPr>
            <w:r w:rsidRPr="00126721">
              <w:t>Wyszczególnienie badań            i pomiarów</w:t>
            </w:r>
          </w:p>
        </w:tc>
        <w:tc>
          <w:tcPr>
            <w:tcW w:w="4718" w:type="dxa"/>
            <w:tcBorders>
              <w:top w:val="single" w:sz="6" w:space="0" w:color="000000"/>
              <w:left w:val="single" w:sz="6" w:space="0" w:color="000000"/>
              <w:bottom w:val="double" w:sz="6" w:space="0" w:color="000000"/>
              <w:right w:val="single" w:sz="6" w:space="0" w:color="000000"/>
            </w:tcBorders>
          </w:tcPr>
          <w:p w:rsidR="000302C0" w:rsidRPr="00126721" w:rsidRDefault="000302C0" w:rsidP="000302C0">
            <w:pPr>
              <w:ind w:right="-709"/>
              <w:jc w:val="center"/>
            </w:pPr>
            <w:r w:rsidRPr="00126721">
              <w:t>Minimalna częstotliwość</w:t>
            </w:r>
          </w:p>
          <w:p w:rsidR="000302C0" w:rsidRPr="00126721" w:rsidRDefault="000302C0" w:rsidP="000302C0">
            <w:pPr>
              <w:ind w:right="-709"/>
              <w:jc w:val="center"/>
            </w:pPr>
            <w:r w:rsidRPr="00126721">
              <w:t>badań i pomiarów</w:t>
            </w:r>
          </w:p>
        </w:tc>
      </w:tr>
      <w:tr w:rsidR="000302C0" w:rsidRPr="00126721" w:rsidTr="00697F9A">
        <w:trPr>
          <w:cantSplit/>
          <w:jc w:val="center"/>
        </w:trPr>
        <w:tc>
          <w:tcPr>
            <w:tcW w:w="339" w:type="dxa"/>
            <w:tcBorders>
              <w:left w:val="single" w:sz="6" w:space="0" w:color="000000"/>
              <w:bottom w:val="single" w:sz="6" w:space="0" w:color="000000"/>
            </w:tcBorders>
          </w:tcPr>
          <w:p w:rsidR="000302C0" w:rsidRPr="00126721" w:rsidRDefault="000302C0" w:rsidP="000302C0">
            <w:pPr>
              <w:ind w:right="-709"/>
              <w:jc w:val="center"/>
            </w:pPr>
            <w:r w:rsidRPr="00126721">
              <w:t>1</w:t>
            </w:r>
          </w:p>
        </w:tc>
        <w:tc>
          <w:tcPr>
            <w:tcW w:w="2543" w:type="dxa"/>
            <w:tcBorders>
              <w:left w:val="single" w:sz="6" w:space="0" w:color="000000"/>
              <w:bottom w:val="single" w:sz="6" w:space="0" w:color="000000"/>
            </w:tcBorders>
          </w:tcPr>
          <w:p w:rsidR="000302C0" w:rsidRPr="00126721" w:rsidRDefault="000302C0" w:rsidP="000302C0">
            <w:pPr>
              <w:ind w:right="-709"/>
            </w:pPr>
            <w:r w:rsidRPr="00126721">
              <w:t>Spadki poprzeczne</w:t>
            </w:r>
          </w:p>
        </w:tc>
        <w:tc>
          <w:tcPr>
            <w:tcW w:w="4718" w:type="dxa"/>
            <w:tcBorders>
              <w:left w:val="single" w:sz="6" w:space="0" w:color="000000"/>
              <w:bottom w:val="single" w:sz="6" w:space="0" w:color="000000"/>
              <w:right w:val="single" w:sz="6" w:space="0" w:color="000000"/>
            </w:tcBorders>
          </w:tcPr>
          <w:p w:rsidR="000302C0" w:rsidRPr="00126721" w:rsidRDefault="000302C0" w:rsidP="0042722A">
            <w:pPr>
              <w:ind w:right="-709"/>
              <w:jc w:val="center"/>
            </w:pPr>
            <w:r w:rsidRPr="00126721">
              <w:t xml:space="preserve">w </w:t>
            </w:r>
            <w:r w:rsidR="0042722A">
              <w:t>2</w:t>
            </w:r>
            <w:r w:rsidRPr="00126721">
              <w:t xml:space="preserve"> miejscach</w:t>
            </w:r>
          </w:p>
        </w:tc>
      </w:tr>
      <w:tr w:rsidR="000302C0" w:rsidRPr="00126721" w:rsidTr="00697F9A">
        <w:trPr>
          <w:cantSplit/>
          <w:jc w:val="center"/>
        </w:trPr>
        <w:tc>
          <w:tcPr>
            <w:tcW w:w="339" w:type="dxa"/>
            <w:tcBorders>
              <w:left w:val="single" w:sz="6" w:space="0" w:color="000000"/>
              <w:bottom w:val="single" w:sz="6" w:space="0" w:color="000000"/>
            </w:tcBorders>
          </w:tcPr>
          <w:p w:rsidR="000302C0" w:rsidRPr="00126721" w:rsidRDefault="000302C0" w:rsidP="000302C0">
            <w:pPr>
              <w:ind w:right="-709"/>
              <w:jc w:val="center"/>
            </w:pPr>
            <w:r w:rsidRPr="00126721">
              <w:t>2</w:t>
            </w:r>
          </w:p>
        </w:tc>
        <w:tc>
          <w:tcPr>
            <w:tcW w:w="2543" w:type="dxa"/>
            <w:tcBorders>
              <w:left w:val="single" w:sz="6" w:space="0" w:color="000000"/>
              <w:bottom w:val="single" w:sz="6" w:space="0" w:color="000000"/>
            </w:tcBorders>
          </w:tcPr>
          <w:p w:rsidR="000302C0" w:rsidRPr="00126721" w:rsidRDefault="000302C0" w:rsidP="000302C0">
            <w:pPr>
              <w:ind w:right="-709"/>
            </w:pPr>
            <w:r w:rsidRPr="00126721">
              <w:t>Rzędne wysokościowe</w:t>
            </w:r>
          </w:p>
        </w:tc>
        <w:tc>
          <w:tcPr>
            <w:tcW w:w="4718" w:type="dxa"/>
            <w:tcBorders>
              <w:left w:val="single" w:sz="6" w:space="0" w:color="000000"/>
              <w:bottom w:val="single" w:sz="6" w:space="0" w:color="000000"/>
              <w:right w:val="single" w:sz="6" w:space="0" w:color="000000"/>
            </w:tcBorders>
          </w:tcPr>
          <w:p w:rsidR="000302C0" w:rsidRPr="00126721" w:rsidRDefault="000302C0" w:rsidP="0042722A">
            <w:pPr>
              <w:ind w:right="-709"/>
              <w:jc w:val="center"/>
            </w:pPr>
            <w:r w:rsidRPr="00126721">
              <w:t xml:space="preserve">w </w:t>
            </w:r>
            <w:r w:rsidR="0042722A">
              <w:t>2</w:t>
            </w:r>
            <w:r w:rsidRPr="00126721">
              <w:t xml:space="preserve"> miejscach</w:t>
            </w:r>
          </w:p>
        </w:tc>
      </w:tr>
      <w:tr w:rsidR="000302C0" w:rsidRPr="00126721" w:rsidTr="00697F9A">
        <w:trPr>
          <w:cantSplit/>
          <w:jc w:val="center"/>
        </w:trPr>
        <w:tc>
          <w:tcPr>
            <w:tcW w:w="339" w:type="dxa"/>
            <w:tcBorders>
              <w:left w:val="single" w:sz="6" w:space="0" w:color="000000"/>
              <w:bottom w:val="single" w:sz="6" w:space="0" w:color="000000"/>
            </w:tcBorders>
          </w:tcPr>
          <w:p w:rsidR="000302C0" w:rsidRPr="00126721" w:rsidRDefault="000302C0" w:rsidP="000302C0">
            <w:pPr>
              <w:ind w:right="-709"/>
              <w:jc w:val="center"/>
            </w:pPr>
            <w:r w:rsidRPr="00126721">
              <w:t>4</w:t>
            </w:r>
          </w:p>
        </w:tc>
        <w:tc>
          <w:tcPr>
            <w:tcW w:w="2543" w:type="dxa"/>
            <w:tcBorders>
              <w:left w:val="single" w:sz="6" w:space="0" w:color="000000"/>
              <w:bottom w:val="single" w:sz="6" w:space="0" w:color="000000"/>
            </w:tcBorders>
          </w:tcPr>
          <w:p w:rsidR="000302C0" w:rsidRPr="00126721" w:rsidRDefault="000302C0" w:rsidP="000302C0">
            <w:pPr>
              <w:ind w:right="-709"/>
            </w:pPr>
            <w:r w:rsidRPr="00126721">
              <w:t>Szerokość nawierzchni</w:t>
            </w:r>
          </w:p>
        </w:tc>
        <w:tc>
          <w:tcPr>
            <w:tcW w:w="4718" w:type="dxa"/>
            <w:tcBorders>
              <w:left w:val="single" w:sz="6" w:space="0" w:color="000000"/>
              <w:bottom w:val="single" w:sz="6" w:space="0" w:color="000000"/>
              <w:right w:val="single" w:sz="6" w:space="0" w:color="000000"/>
            </w:tcBorders>
          </w:tcPr>
          <w:p w:rsidR="000302C0" w:rsidRPr="00126721" w:rsidRDefault="000302C0" w:rsidP="0042722A">
            <w:pPr>
              <w:ind w:right="-709"/>
              <w:jc w:val="center"/>
            </w:pPr>
            <w:r w:rsidRPr="00126721">
              <w:t xml:space="preserve">w </w:t>
            </w:r>
            <w:r w:rsidR="0042722A">
              <w:t>2</w:t>
            </w:r>
            <w:r w:rsidRPr="00126721">
              <w:t xml:space="preserve"> miejscach</w:t>
            </w:r>
          </w:p>
        </w:tc>
      </w:tr>
      <w:tr w:rsidR="000302C0" w:rsidRPr="00126721" w:rsidTr="00697F9A">
        <w:trPr>
          <w:cantSplit/>
          <w:jc w:val="center"/>
        </w:trPr>
        <w:tc>
          <w:tcPr>
            <w:tcW w:w="339" w:type="dxa"/>
            <w:tcBorders>
              <w:left w:val="single" w:sz="6" w:space="0" w:color="000000"/>
              <w:bottom w:val="single" w:sz="6" w:space="0" w:color="000000"/>
            </w:tcBorders>
          </w:tcPr>
          <w:p w:rsidR="000302C0" w:rsidRPr="00126721" w:rsidRDefault="000302C0" w:rsidP="000302C0">
            <w:pPr>
              <w:ind w:right="-709"/>
              <w:jc w:val="center"/>
            </w:pPr>
            <w:r w:rsidRPr="00126721">
              <w:t>5</w:t>
            </w:r>
          </w:p>
        </w:tc>
        <w:tc>
          <w:tcPr>
            <w:tcW w:w="2543" w:type="dxa"/>
            <w:tcBorders>
              <w:left w:val="single" w:sz="6" w:space="0" w:color="000000"/>
              <w:bottom w:val="single" w:sz="6" w:space="0" w:color="000000"/>
            </w:tcBorders>
          </w:tcPr>
          <w:p w:rsidR="000302C0" w:rsidRPr="00126721" w:rsidRDefault="000302C0" w:rsidP="000302C0">
            <w:pPr>
              <w:ind w:right="-709"/>
            </w:pPr>
            <w:r w:rsidRPr="00126721">
              <w:t>Grubość podsypki</w:t>
            </w:r>
          </w:p>
        </w:tc>
        <w:tc>
          <w:tcPr>
            <w:tcW w:w="4718" w:type="dxa"/>
            <w:tcBorders>
              <w:left w:val="single" w:sz="6" w:space="0" w:color="000000"/>
              <w:bottom w:val="single" w:sz="6" w:space="0" w:color="000000"/>
              <w:right w:val="single" w:sz="6" w:space="0" w:color="000000"/>
            </w:tcBorders>
          </w:tcPr>
          <w:p w:rsidR="000302C0" w:rsidRPr="00126721" w:rsidRDefault="000302C0" w:rsidP="0042722A">
            <w:pPr>
              <w:ind w:right="-709"/>
              <w:jc w:val="center"/>
            </w:pPr>
            <w:r w:rsidRPr="00126721">
              <w:t xml:space="preserve">w </w:t>
            </w:r>
            <w:r w:rsidR="0042722A">
              <w:t>2</w:t>
            </w:r>
            <w:r w:rsidRPr="00126721">
              <w:t xml:space="preserve"> miejscach</w:t>
            </w:r>
          </w:p>
        </w:tc>
      </w:tr>
    </w:tbl>
    <w:p w:rsidR="000302C0" w:rsidRPr="00126721" w:rsidRDefault="000302C0" w:rsidP="000302C0">
      <w:pPr>
        <w:keepNext/>
        <w:keepLines/>
        <w:suppressAutoHyphens/>
        <w:spacing w:before="120" w:after="120"/>
        <w:ind w:right="-709"/>
        <w:outlineLvl w:val="0"/>
        <w:rPr>
          <w:b/>
          <w:caps/>
          <w:kern w:val="28"/>
        </w:rPr>
      </w:pPr>
      <w:bookmarkStart w:id="60" w:name="_Toc266956766"/>
      <w:bookmarkStart w:id="61" w:name="_Toc266958440"/>
      <w:r w:rsidRPr="00126721">
        <w:rPr>
          <w:b/>
          <w:caps/>
          <w:kern w:val="28"/>
        </w:rPr>
        <w:t>7. obmiar robót</w:t>
      </w:r>
      <w:bookmarkEnd w:id="60"/>
      <w:bookmarkEnd w:id="61"/>
    </w:p>
    <w:p w:rsidR="000302C0" w:rsidRPr="00126721" w:rsidRDefault="000302C0" w:rsidP="000302C0">
      <w:pPr>
        <w:keepNext/>
        <w:spacing w:before="120" w:after="120"/>
        <w:ind w:right="-709"/>
        <w:outlineLvl w:val="1"/>
        <w:rPr>
          <w:b/>
        </w:rPr>
      </w:pPr>
      <w:bookmarkStart w:id="62" w:name="_Toc266956767"/>
      <w:bookmarkStart w:id="63" w:name="_Toc266958441"/>
      <w:r w:rsidRPr="00126721">
        <w:rPr>
          <w:b/>
        </w:rPr>
        <w:t>7.1. Ogólne zasady obmiaru robót</w:t>
      </w:r>
      <w:bookmarkEnd w:id="62"/>
      <w:bookmarkEnd w:id="63"/>
    </w:p>
    <w:p w:rsidR="000302C0" w:rsidRPr="00126721" w:rsidRDefault="000302C0" w:rsidP="000302C0">
      <w:pPr>
        <w:ind w:right="-709"/>
      </w:pPr>
      <w:r w:rsidRPr="00126721">
        <w:t>Ogólne</w:t>
      </w:r>
      <w:r>
        <w:t xml:space="preserve"> zasady obmiaru robót podano w </w:t>
      </w:r>
      <w:r w:rsidRPr="00126721">
        <w:t xml:space="preserve">ST D-M-00.00.00 „Wymagania ogólne” </w:t>
      </w:r>
      <w:proofErr w:type="spellStart"/>
      <w:r w:rsidRPr="00126721">
        <w:t>pkt</w:t>
      </w:r>
      <w:proofErr w:type="spellEnd"/>
      <w:r w:rsidRPr="00126721">
        <w:t xml:space="preserve"> 7.</w:t>
      </w:r>
    </w:p>
    <w:p w:rsidR="000302C0" w:rsidRPr="00126721" w:rsidRDefault="000302C0" w:rsidP="000302C0">
      <w:pPr>
        <w:keepNext/>
        <w:spacing w:before="120" w:after="120"/>
        <w:ind w:right="-709"/>
        <w:outlineLvl w:val="1"/>
        <w:rPr>
          <w:b/>
        </w:rPr>
      </w:pPr>
      <w:bookmarkStart w:id="64" w:name="_Toc266956768"/>
      <w:bookmarkStart w:id="65" w:name="_Toc266958442"/>
      <w:r w:rsidRPr="00126721">
        <w:rPr>
          <w:b/>
        </w:rPr>
        <w:t>7.2. Jednostka obmiarowa</w:t>
      </w:r>
      <w:bookmarkEnd w:id="64"/>
      <w:bookmarkEnd w:id="65"/>
    </w:p>
    <w:p w:rsidR="000302C0" w:rsidRPr="00126721" w:rsidRDefault="000302C0" w:rsidP="000302C0">
      <w:pPr>
        <w:ind w:right="-709"/>
      </w:pPr>
      <w:r w:rsidRPr="00126721">
        <w:tab/>
        <w:t>Jednostką obmiarową jest m</w:t>
      </w:r>
      <w:r w:rsidRPr="00126721">
        <w:rPr>
          <w:vertAlign w:val="superscript"/>
        </w:rPr>
        <w:t>2</w:t>
      </w:r>
      <w:r w:rsidRPr="00126721">
        <w:t xml:space="preserve"> (metr kwadratowy) wykonanej nawierzchni z kostki kamiennej.</w:t>
      </w:r>
    </w:p>
    <w:p w:rsidR="000302C0" w:rsidRPr="00126721" w:rsidRDefault="000302C0" w:rsidP="000302C0">
      <w:pPr>
        <w:keepNext/>
        <w:keepLines/>
        <w:suppressAutoHyphens/>
        <w:spacing w:before="120" w:after="120"/>
        <w:ind w:right="-709"/>
        <w:outlineLvl w:val="0"/>
        <w:rPr>
          <w:b/>
          <w:caps/>
          <w:kern w:val="28"/>
        </w:rPr>
      </w:pPr>
      <w:bookmarkStart w:id="66" w:name="_Toc266956769"/>
      <w:bookmarkStart w:id="67" w:name="_Toc266958443"/>
      <w:r w:rsidRPr="00126721">
        <w:rPr>
          <w:b/>
          <w:caps/>
          <w:kern w:val="28"/>
        </w:rPr>
        <w:t>8. odbiór robót</w:t>
      </w:r>
      <w:bookmarkEnd w:id="66"/>
      <w:bookmarkEnd w:id="67"/>
    </w:p>
    <w:p w:rsidR="000302C0" w:rsidRPr="00126721" w:rsidRDefault="000302C0" w:rsidP="000302C0">
      <w:pPr>
        <w:keepNext/>
        <w:spacing w:before="120" w:after="120"/>
        <w:ind w:right="-709"/>
        <w:outlineLvl w:val="1"/>
        <w:rPr>
          <w:b/>
        </w:rPr>
      </w:pPr>
      <w:bookmarkStart w:id="68" w:name="_Toc266956770"/>
      <w:bookmarkStart w:id="69" w:name="_Toc266958444"/>
      <w:r w:rsidRPr="00126721">
        <w:rPr>
          <w:b/>
        </w:rPr>
        <w:t>8.1. Ogólne zasady odbioru robót</w:t>
      </w:r>
      <w:bookmarkEnd w:id="68"/>
      <w:bookmarkEnd w:id="69"/>
    </w:p>
    <w:p w:rsidR="000302C0" w:rsidRPr="00126721" w:rsidRDefault="000302C0" w:rsidP="000302C0">
      <w:pPr>
        <w:ind w:right="-709"/>
      </w:pPr>
      <w:r w:rsidRPr="00126721">
        <w:t>Ogólne</w:t>
      </w:r>
      <w:r>
        <w:t xml:space="preserve"> zasady odbioru robót podano w </w:t>
      </w:r>
      <w:r w:rsidRPr="00126721">
        <w:t xml:space="preserve">ST D-M-00.00.00 „Wymagania ogólne” </w:t>
      </w:r>
      <w:proofErr w:type="spellStart"/>
      <w:r w:rsidRPr="00126721">
        <w:t>pkt</w:t>
      </w:r>
      <w:proofErr w:type="spellEnd"/>
      <w:r w:rsidRPr="00126721">
        <w:t xml:space="preserve"> 8. Roboty uznaje się za wykonane zgod</w:t>
      </w:r>
      <w:r>
        <w:t xml:space="preserve">nie z dokumentacją projektową, </w:t>
      </w:r>
      <w:r w:rsidRPr="00126721">
        <w:t xml:space="preserve">ST i wymaganiami Inżyniera, jeżeli wszystkie pomiary i badania z zachowaniem tolerancji według </w:t>
      </w:r>
      <w:proofErr w:type="spellStart"/>
      <w:r w:rsidRPr="00126721">
        <w:t>pkt</w:t>
      </w:r>
      <w:proofErr w:type="spellEnd"/>
      <w:r w:rsidRPr="00126721">
        <w:t xml:space="preserve"> 6 dały wyniki pozytywne.</w:t>
      </w:r>
    </w:p>
    <w:p w:rsidR="000302C0" w:rsidRPr="00126721" w:rsidRDefault="000302C0" w:rsidP="000302C0">
      <w:pPr>
        <w:keepNext/>
        <w:spacing w:before="120" w:after="120"/>
        <w:ind w:right="-709"/>
        <w:outlineLvl w:val="1"/>
        <w:rPr>
          <w:b/>
        </w:rPr>
      </w:pPr>
      <w:bookmarkStart w:id="70" w:name="_Toc266956771"/>
      <w:bookmarkStart w:id="71" w:name="_Toc266958445"/>
      <w:r w:rsidRPr="00126721">
        <w:rPr>
          <w:b/>
        </w:rPr>
        <w:t>8.2. Odbiór robót zanikających i ulegających  zakryciu</w:t>
      </w:r>
      <w:bookmarkEnd w:id="70"/>
      <w:bookmarkEnd w:id="71"/>
    </w:p>
    <w:p w:rsidR="000302C0" w:rsidRPr="00126721" w:rsidRDefault="000302C0" w:rsidP="000302C0">
      <w:pPr>
        <w:ind w:right="-709"/>
      </w:pPr>
      <w:r w:rsidRPr="00126721">
        <w:t>Roboty związane z wykonaniem podsypki należą do robót ulegających zakryciu. Zas</w:t>
      </w:r>
      <w:r>
        <w:t xml:space="preserve">ady ich odbioru są określone w </w:t>
      </w:r>
      <w:r w:rsidRPr="00126721">
        <w:t xml:space="preserve">ST D-M-00.00.00 „Wymagania ogólne”  </w:t>
      </w:r>
      <w:proofErr w:type="spellStart"/>
      <w:r w:rsidRPr="00126721">
        <w:t>pkt</w:t>
      </w:r>
      <w:proofErr w:type="spellEnd"/>
      <w:r w:rsidRPr="00126721">
        <w:t xml:space="preserve"> 8.2.</w:t>
      </w:r>
    </w:p>
    <w:p w:rsidR="000302C0" w:rsidRPr="00126721" w:rsidRDefault="000302C0" w:rsidP="000302C0">
      <w:pPr>
        <w:keepNext/>
        <w:keepLines/>
        <w:suppressAutoHyphens/>
        <w:spacing w:before="120" w:after="120"/>
        <w:ind w:right="-709"/>
        <w:outlineLvl w:val="0"/>
        <w:rPr>
          <w:b/>
          <w:caps/>
          <w:kern w:val="28"/>
        </w:rPr>
      </w:pPr>
      <w:bookmarkStart w:id="72" w:name="_Toc266956772"/>
      <w:bookmarkStart w:id="73" w:name="_Toc266958446"/>
      <w:r w:rsidRPr="00126721">
        <w:rPr>
          <w:b/>
          <w:caps/>
          <w:kern w:val="28"/>
        </w:rPr>
        <w:t>9. podstawa płatności</w:t>
      </w:r>
      <w:bookmarkEnd w:id="72"/>
      <w:bookmarkEnd w:id="73"/>
    </w:p>
    <w:p w:rsidR="000302C0" w:rsidRPr="00126721" w:rsidRDefault="000302C0" w:rsidP="000302C0">
      <w:pPr>
        <w:keepNext/>
        <w:spacing w:before="120" w:after="120"/>
        <w:ind w:right="-709"/>
        <w:outlineLvl w:val="1"/>
        <w:rPr>
          <w:b/>
        </w:rPr>
      </w:pPr>
      <w:bookmarkStart w:id="74" w:name="_Toc266956773"/>
      <w:bookmarkStart w:id="75" w:name="_Toc266958447"/>
      <w:r w:rsidRPr="00126721">
        <w:rPr>
          <w:b/>
        </w:rPr>
        <w:t>9.1. Ogólne ustalenia dotyczące podstawy płatności</w:t>
      </w:r>
      <w:bookmarkEnd w:id="74"/>
      <w:bookmarkEnd w:id="75"/>
    </w:p>
    <w:p w:rsidR="000302C0" w:rsidRPr="00126721" w:rsidRDefault="000302C0" w:rsidP="000302C0">
      <w:pPr>
        <w:ind w:right="-709"/>
      </w:pPr>
      <w:r w:rsidRPr="00126721">
        <w:t>Ogólne ustalenia dotyczą</w:t>
      </w:r>
      <w:r>
        <w:t xml:space="preserve">ce podstawy płatności podano w </w:t>
      </w:r>
      <w:r w:rsidRPr="00126721">
        <w:t xml:space="preserve">ST D-M-00.00.00 „Wymagania ogólne” </w:t>
      </w:r>
      <w:proofErr w:type="spellStart"/>
      <w:r w:rsidRPr="00126721">
        <w:t>pkt</w:t>
      </w:r>
      <w:proofErr w:type="spellEnd"/>
      <w:r w:rsidRPr="00126721">
        <w:t xml:space="preserve"> 9.</w:t>
      </w:r>
    </w:p>
    <w:p w:rsidR="000302C0" w:rsidRPr="00126721" w:rsidRDefault="000302C0" w:rsidP="000302C0">
      <w:pPr>
        <w:keepNext/>
        <w:spacing w:before="120" w:after="120"/>
        <w:ind w:right="-709"/>
        <w:outlineLvl w:val="1"/>
        <w:rPr>
          <w:b/>
        </w:rPr>
      </w:pPr>
      <w:bookmarkStart w:id="76" w:name="_Toc266956774"/>
      <w:bookmarkStart w:id="77" w:name="_Toc266958448"/>
      <w:r w:rsidRPr="00126721">
        <w:rPr>
          <w:b/>
        </w:rPr>
        <w:t>9.2. Cena jednostki obmiarowej</w:t>
      </w:r>
      <w:bookmarkEnd w:id="76"/>
      <w:bookmarkEnd w:id="77"/>
    </w:p>
    <w:p w:rsidR="000302C0" w:rsidRPr="00126721" w:rsidRDefault="000302C0" w:rsidP="000302C0">
      <w:pPr>
        <w:ind w:right="-709"/>
      </w:pPr>
      <w:r w:rsidRPr="00126721">
        <w:t xml:space="preserve">Cena wykonania </w:t>
      </w:r>
      <w:smartTag w:uri="urn:schemas-microsoft-com:office:smarttags" w:element="metricconverter">
        <w:smartTagPr>
          <w:attr w:name="ProductID" w:val="1 m2"/>
        </w:smartTagPr>
        <w:r w:rsidRPr="00126721">
          <w:t>1 m</w:t>
        </w:r>
        <w:r w:rsidRPr="00126721">
          <w:rPr>
            <w:vertAlign w:val="superscript"/>
          </w:rPr>
          <w:t>2</w:t>
        </w:r>
      </w:smartTag>
      <w:r w:rsidRPr="00126721">
        <w:t xml:space="preserve"> nawierzchni z kostki kamiennej obejmuje:</w:t>
      </w:r>
    </w:p>
    <w:p w:rsidR="000302C0" w:rsidRPr="00126721" w:rsidRDefault="000302C0" w:rsidP="000302C0">
      <w:pPr>
        <w:widowControl w:val="0"/>
        <w:numPr>
          <w:ilvl w:val="0"/>
          <w:numId w:val="1"/>
        </w:numPr>
        <w:tabs>
          <w:tab w:val="left" w:pos="283"/>
        </w:tabs>
        <w:suppressAutoHyphens/>
        <w:ind w:right="-709"/>
      </w:pPr>
      <w:r w:rsidRPr="00126721">
        <w:t>prace pomiarowe i roboty przygotowawcze,</w:t>
      </w:r>
    </w:p>
    <w:p w:rsidR="000302C0" w:rsidRPr="00126721" w:rsidRDefault="000302C0" w:rsidP="000302C0">
      <w:pPr>
        <w:widowControl w:val="0"/>
        <w:numPr>
          <w:ilvl w:val="0"/>
          <w:numId w:val="1"/>
        </w:numPr>
        <w:tabs>
          <w:tab w:val="left" w:pos="283"/>
        </w:tabs>
        <w:suppressAutoHyphens/>
        <w:ind w:right="-709"/>
      </w:pPr>
      <w:r w:rsidRPr="00126721">
        <w:lastRenderedPageBreak/>
        <w:t>oznakowanie robót,</w:t>
      </w:r>
    </w:p>
    <w:p w:rsidR="000302C0" w:rsidRPr="00126721" w:rsidRDefault="000302C0" w:rsidP="000302C0">
      <w:pPr>
        <w:widowControl w:val="0"/>
        <w:numPr>
          <w:ilvl w:val="0"/>
          <w:numId w:val="1"/>
        </w:numPr>
        <w:tabs>
          <w:tab w:val="left" w:pos="283"/>
        </w:tabs>
        <w:suppressAutoHyphens/>
        <w:ind w:right="-709"/>
      </w:pPr>
      <w:r w:rsidRPr="00126721">
        <w:t>dostarczenie materiałów,</w:t>
      </w:r>
    </w:p>
    <w:p w:rsidR="000302C0" w:rsidRPr="00126721" w:rsidRDefault="000302C0" w:rsidP="000302C0">
      <w:pPr>
        <w:widowControl w:val="0"/>
        <w:numPr>
          <w:ilvl w:val="0"/>
          <w:numId w:val="1"/>
        </w:numPr>
        <w:tabs>
          <w:tab w:val="left" w:pos="283"/>
        </w:tabs>
        <w:suppressAutoHyphens/>
        <w:ind w:right="-709"/>
      </w:pPr>
      <w:r w:rsidRPr="00126721">
        <w:t>wykonanie podsypki,</w:t>
      </w:r>
    </w:p>
    <w:p w:rsidR="000302C0" w:rsidRPr="00126721" w:rsidRDefault="000302C0" w:rsidP="000302C0">
      <w:pPr>
        <w:widowControl w:val="0"/>
        <w:numPr>
          <w:ilvl w:val="0"/>
          <w:numId w:val="1"/>
        </w:numPr>
        <w:tabs>
          <w:tab w:val="left" w:pos="283"/>
        </w:tabs>
        <w:suppressAutoHyphens/>
        <w:ind w:right="-709"/>
      </w:pPr>
      <w:r w:rsidRPr="00126721">
        <w:t>ułożenie i ubicie kostki,</w:t>
      </w:r>
    </w:p>
    <w:p w:rsidR="000302C0" w:rsidRPr="00126721" w:rsidRDefault="000302C0" w:rsidP="000302C0">
      <w:pPr>
        <w:widowControl w:val="0"/>
        <w:numPr>
          <w:ilvl w:val="0"/>
          <w:numId w:val="1"/>
        </w:numPr>
        <w:tabs>
          <w:tab w:val="left" w:pos="283"/>
        </w:tabs>
        <w:suppressAutoHyphens/>
        <w:ind w:right="-709"/>
      </w:pPr>
      <w:r w:rsidRPr="00126721">
        <w:t>wypełnienie spoin,</w:t>
      </w:r>
    </w:p>
    <w:p w:rsidR="000302C0" w:rsidRPr="00126721" w:rsidRDefault="000302C0" w:rsidP="000302C0">
      <w:pPr>
        <w:widowControl w:val="0"/>
        <w:numPr>
          <w:ilvl w:val="0"/>
          <w:numId w:val="1"/>
        </w:numPr>
        <w:tabs>
          <w:tab w:val="left" w:pos="283"/>
        </w:tabs>
        <w:suppressAutoHyphens/>
        <w:ind w:right="-709"/>
      </w:pPr>
      <w:r w:rsidRPr="00126721">
        <w:t>pielęgnację nawierzchni,</w:t>
      </w:r>
    </w:p>
    <w:p w:rsidR="000302C0" w:rsidRDefault="000302C0" w:rsidP="000302C0">
      <w:pPr>
        <w:widowControl w:val="0"/>
        <w:numPr>
          <w:ilvl w:val="0"/>
          <w:numId w:val="1"/>
        </w:numPr>
        <w:tabs>
          <w:tab w:val="left" w:pos="283"/>
        </w:tabs>
        <w:suppressAutoHyphens/>
        <w:ind w:right="-709"/>
      </w:pPr>
      <w:r w:rsidRPr="00126721">
        <w:t>przeprowadzenie badań i pomiarów wymaganych w specyfikacji technicznej.</w:t>
      </w:r>
    </w:p>
    <w:p w:rsidR="000302C0" w:rsidRDefault="000302C0" w:rsidP="000302C0">
      <w:pPr>
        <w:pStyle w:val="Nagwek2"/>
        <w:ind w:right="-709"/>
      </w:pPr>
      <w:r>
        <w:t>9.3. Sposób rozliczenia robót tymczasowych i prac towarzyszących</w:t>
      </w:r>
    </w:p>
    <w:p w:rsidR="000302C0" w:rsidRDefault="000302C0" w:rsidP="000302C0">
      <w:pPr>
        <w:ind w:right="-709"/>
      </w:pPr>
      <w:r>
        <w:t>Cena wykonania robót określonych niniejszą ST obejmuje:</w:t>
      </w:r>
    </w:p>
    <w:p w:rsidR="000302C0" w:rsidRDefault="000302C0" w:rsidP="000302C0">
      <w:pPr>
        <w:numPr>
          <w:ilvl w:val="0"/>
          <w:numId w:val="2"/>
        </w:numPr>
        <w:ind w:right="-709"/>
      </w:pPr>
      <w:r>
        <w:t>roboty tymczasowe, które są potrzebne do wykonania robót podstawowych, ale nie są przekazywane Zamawiającemu i są usuwane po wykonaniu robót podstawowych,</w:t>
      </w:r>
    </w:p>
    <w:p w:rsidR="000302C0" w:rsidRDefault="000302C0" w:rsidP="000302C0">
      <w:pPr>
        <w:numPr>
          <w:ilvl w:val="0"/>
          <w:numId w:val="2"/>
        </w:numPr>
        <w:ind w:right="-709"/>
      </w:pPr>
      <w:r>
        <w:t>prace towarzyszące, które są niezbędne do wykonania robót podstawowych, niezaliczane do robót tymczasowych, jak geodezyjne wytyczenie robót itd.</w:t>
      </w:r>
    </w:p>
    <w:p w:rsidR="000302C0" w:rsidRPr="00126721" w:rsidRDefault="000302C0" w:rsidP="000302C0">
      <w:pPr>
        <w:keepNext/>
        <w:keepLines/>
        <w:suppressAutoHyphens/>
        <w:spacing w:before="120" w:after="120"/>
        <w:ind w:right="-709"/>
        <w:outlineLvl w:val="0"/>
        <w:rPr>
          <w:b/>
          <w:caps/>
          <w:kern w:val="28"/>
        </w:rPr>
      </w:pPr>
      <w:bookmarkStart w:id="78" w:name="_Toc266956775"/>
      <w:bookmarkStart w:id="79" w:name="_Toc266958449"/>
      <w:r w:rsidRPr="00126721">
        <w:rPr>
          <w:b/>
          <w:caps/>
          <w:kern w:val="28"/>
        </w:rPr>
        <w:t>10. przepisy związane</w:t>
      </w:r>
      <w:bookmarkEnd w:id="78"/>
      <w:bookmarkEnd w:id="79"/>
    </w:p>
    <w:p w:rsidR="000302C0" w:rsidRPr="00126721" w:rsidRDefault="000302C0" w:rsidP="000302C0">
      <w:pPr>
        <w:keepNext/>
        <w:spacing w:before="120" w:after="120"/>
        <w:ind w:right="-709"/>
        <w:outlineLvl w:val="1"/>
        <w:rPr>
          <w:b/>
        </w:rPr>
      </w:pPr>
      <w:bookmarkStart w:id="80" w:name="_Toc266956776"/>
      <w:bookmarkStart w:id="81" w:name="_Toc266958450"/>
      <w:r w:rsidRPr="00126721">
        <w:rPr>
          <w:b/>
        </w:rPr>
        <w:t>10.1. Normy</w:t>
      </w:r>
      <w:bookmarkEnd w:id="80"/>
      <w:bookmarkEnd w:id="81"/>
    </w:p>
    <w:tbl>
      <w:tblPr>
        <w:tblW w:w="0" w:type="auto"/>
        <w:tblInd w:w="-70" w:type="dxa"/>
        <w:tblLayout w:type="fixed"/>
        <w:tblCellMar>
          <w:left w:w="0" w:type="dxa"/>
          <w:right w:w="0" w:type="dxa"/>
        </w:tblCellMar>
        <w:tblLook w:val="0000"/>
      </w:tblPr>
      <w:tblGrid>
        <w:gridCol w:w="496"/>
        <w:gridCol w:w="1701"/>
        <w:gridCol w:w="7273"/>
      </w:tblGrid>
      <w:tr w:rsidR="000302C0" w:rsidRPr="00126721" w:rsidTr="00697F9A">
        <w:trPr>
          <w:cantSplit/>
        </w:trPr>
        <w:tc>
          <w:tcPr>
            <w:tcW w:w="496" w:type="dxa"/>
          </w:tcPr>
          <w:p w:rsidR="000302C0" w:rsidRPr="00126721" w:rsidRDefault="000302C0" w:rsidP="000302C0">
            <w:pPr>
              <w:ind w:right="-709"/>
            </w:pPr>
            <w:r w:rsidRPr="00126721">
              <w:t xml:space="preserve">  1.</w:t>
            </w:r>
          </w:p>
        </w:tc>
        <w:tc>
          <w:tcPr>
            <w:tcW w:w="1701" w:type="dxa"/>
          </w:tcPr>
          <w:p w:rsidR="000302C0" w:rsidRPr="00126721" w:rsidRDefault="000302C0" w:rsidP="000302C0">
            <w:pPr>
              <w:widowControl w:val="0"/>
              <w:suppressLineNumbers/>
              <w:suppressAutoHyphens/>
              <w:ind w:right="-709"/>
            </w:pPr>
            <w:r w:rsidRPr="00126721">
              <w:t>PN-EN 1342</w:t>
            </w:r>
          </w:p>
        </w:tc>
        <w:tc>
          <w:tcPr>
            <w:tcW w:w="7273" w:type="dxa"/>
          </w:tcPr>
          <w:p w:rsidR="000302C0" w:rsidRPr="00126721" w:rsidRDefault="000302C0" w:rsidP="000302C0">
            <w:pPr>
              <w:widowControl w:val="0"/>
              <w:suppressLineNumbers/>
              <w:suppressAutoHyphens/>
              <w:ind w:right="-709"/>
            </w:pPr>
            <w:r w:rsidRPr="00126721">
              <w:t>Kostka brukowa z kamienia naturalnego do zewnętrznych nawierzchni drogowych - Wymagania i metody badań</w:t>
            </w:r>
          </w:p>
        </w:tc>
      </w:tr>
      <w:tr w:rsidR="000302C0" w:rsidRPr="00126721" w:rsidTr="00697F9A">
        <w:trPr>
          <w:cantSplit/>
        </w:trPr>
        <w:tc>
          <w:tcPr>
            <w:tcW w:w="496" w:type="dxa"/>
          </w:tcPr>
          <w:p w:rsidR="000302C0" w:rsidRPr="00126721" w:rsidRDefault="000302C0" w:rsidP="000302C0">
            <w:pPr>
              <w:ind w:right="-709"/>
            </w:pPr>
            <w:r w:rsidRPr="00126721">
              <w:t xml:space="preserve">  6.</w:t>
            </w:r>
          </w:p>
        </w:tc>
        <w:tc>
          <w:tcPr>
            <w:tcW w:w="1701" w:type="dxa"/>
          </w:tcPr>
          <w:p w:rsidR="000302C0" w:rsidRPr="00126721" w:rsidRDefault="000302C0" w:rsidP="000302C0">
            <w:pPr>
              <w:ind w:right="-709"/>
            </w:pPr>
            <w:r w:rsidRPr="00126721">
              <w:t>PN-B-06251</w:t>
            </w:r>
          </w:p>
        </w:tc>
        <w:tc>
          <w:tcPr>
            <w:tcW w:w="7273" w:type="dxa"/>
          </w:tcPr>
          <w:p w:rsidR="000302C0" w:rsidRPr="00126721" w:rsidRDefault="000302C0" w:rsidP="000302C0">
            <w:pPr>
              <w:ind w:right="-709"/>
            </w:pPr>
            <w:r w:rsidRPr="00126721">
              <w:t>Roboty betonowe i żelbetowe. Wymagania techniczne</w:t>
            </w:r>
          </w:p>
        </w:tc>
      </w:tr>
      <w:tr w:rsidR="000302C0" w:rsidRPr="00126721" w:rsidTr="00697F9A">
        <w:trPr>
          <w:cantSplit/>
        </w:trPr>
        <w:tc>
          <w:tcPr>
            <w:tcW w:w="496" w:type="dxa"/>
          </w:tcPr>
          <w:p w:rsidR="000302C0" w:rsidRPr="00126721" w:rsidRDefault="000302C0" w:rsidP="000302C0">
            <w:pPr>
              <w:ind w:right="-709"/>
            </w:pPr>
            <w:r w:rsidRPr="00126721">
              <w:t xml:space="preserve">  7.</w:t>
            </w:r>
          </w:p>
        </w:tc>
        <w:tc>
          <w:tcPr>
            <w:tcW w:w="1701" w:type="dxa"/>
          </w:tcPr>
          <w:p w:rsidR="000302C0" w:rsidRPr="00126721" w:rsidRDefault="000302C0" w:rsidP="000302C0">
            <w:pPr>
              <w:ind w:right="-709"/>
            </w:pPr>
            <w:r w:rsidRPr="00126721">
              <w:t>PN-B-06712</w:t>
            </w:r>
          </w:p>
        </w:tc>
        <w:tc>
          <w:tcPr>
            <w:tcW w:w="7273" w:type="dxa"/>
          </w:tcPr>
          <w:p w:rsidR="000302C0" w:rsidRPr="00126721" w:rsidRDefault="000302C0" w:rsidP="000302C0">
            <w:pPr>
              <w:ind w:right="-709"/>
            </w:pPr>
            <w:r w:rsidRPr="00126721">
              <w:t>Kruszywa mineralne do betonu zwykłego</w:t>
            </w:r>
          </w:p>
        </w:tc>
      </w:tr>
      <w:tr w:rsidR="000302C0" w:rsidRPr="00126721" w:rsidTr="00697F9A">
        <w:trPr>
          <w:cantSplit/>
        </w:trPr>
        <w:tc>
          <w:tcPr>
            <w:tcW w:w="496" w:type="dxa"/>
          </w:tcPr>
          <w:p w:rsidR="000302C0" w:rsidRPr="00126721" w:rsidRDefault="000302C0" w:rsidP="000302C0">
            <w:pPr>
              <w:ind w:right="-709"/>
            </w:pPr>
            <w:r w:rsidRPr="00126721">
              <w:t xml:space="preserve">  8.</w:t>
            </w:r>
          </w:p>
        </w:tc>
        <w:tc>
          <w:tcPr>
            <w:tcW w:w="1701" w:type="dxa"/>
          </w:tcPr>
          <w:p w:rsidR="000302C0" w:rsidRPr="00126721" w:rsidRDefault="000302C0" w:rsidP="000302C0">
            <w:pPr>
              <w:ind w:right="-709"/>
            </w:pPr>
            <w:r w:rsidRPr="00126721">
              <w:t>PN-B-11100</w:t>
            </w:r>
          </w:p>
        </w:tc>
        <w:tc>
          <w:tcPr>
            <w:tcW w:w="7273" w:type="dxa"/>
          </w:tcPr>
          <w:p w:rsidR="000302C0" w:rsidRPr="00126721" w:rsidRDefault="000302C0" w:rsidP="000302C0">
            <w:pPr>
              <w:ind w:right="-709"/>
            </w:pPr>
            <w:r w:rsidRPr="00126721">
              <w:t>Materiały kamienne. Kostka drogowa</w:t>
            </w:r>
          </w:p>
        </w:tc>
      </w:tr>
      <w:tr w:rsidR="000302C0" w:rsidRPr="00126721" w:rsidTr="00697F9A">
        <w:trPr>
          <w:cantSplit/>
        </w:trPr>
        <w:tc>
          <w:tcPr>
            <w:tcW w:w="496" w:type="dxa"/>
          </w:tcPr>
          <w:p w:rsidR="000302C0" w:rsidRPr="00126721" w:rsidRDefault="000302C0" w:rsidP="000302C0">
            <w:pPr>
              <w:ind w:right="-709"/>
            </w:pPr>
            <w:r w:rsidRPr="00126721">
              <w:t xml:space="preserve">  9.</w:t>
            </w:r>
          </w:p>
        </w:tc>
        <w:tc>
          <w:tcPr>
            <w:tcW w:w="1701" w:type="dxa"/>
          </w:tcPr>
          <w:p w:rsidR="000302C0" w:rsidRPr="00126721" w:rsidRDefault="000302C0" w:rsidP="000302C0">
            <w:pPr>
              <w:widowControl w:val="0"/>
              <w:suppressLineNumbers/>
              <w:suppressAutoHyphens/>
              <w:ind w:right="-709"/>
            </w:pPr>
            <w:r w:rsidRPr="00126721">
              <w:t>PN-EN 197-1</w:t>
            </w:r>
            <w:r w:rsidRPr="00126721">
              <w:tab/>
            </w:r>
          </w:p>
        </w:tc>
        <w:tc>
          <w:tcPr>
            <w:tcW w:w="7273" w:type="dxa"/>
          </w:tcPr>
          <w:p w:rsidR="000302C0" w:rsidRPr="00126721" w:rsidRDefault="000302C0" w:rsidP="000302C0">
            <w:pPr>
              <w:widowControl w:val="0"/>
              <w:suppressLineNumbers/>
              <w:suppressAutoHyphens/>
              <w:ind w:right="-709"/>
            </w:pPr>
            <w:r w:rsidRPr="00126721">
              <w:t>Cement. Skład, wymagania i kryteria zgodności dotyczące cementu powszechnego użytku</w:t>
            </w:r>
          </w:p>
        </w:tc>
      </w:tr>
      <w:tr w:rsidR="000302C0" w:rsidRPr="00126721" w:rsidTr="00697F9A">
        <w:trPr>
          <w:cantSplit/>
        </w:trPr>
        <w:tc>
          <w:tcPr>
            <w:tcW w:w="496" w:type="dxa"/>
          </w:tcPr>
          <w:p w:rsidR="000302C0" w:rsidRPr="00126721" w:rsidRDefault="000302C0" w:rsidP="000302C0">
            <w:pPr>
              <w:ind w:right="-709"/>
            </w:pPr>
            <w:r w:rsidRPr="00126721">
              <w:t>10.</w:t>
            </w:r>
          </w:p>
        </w:tc>
        <w:tc>
          <w:tcPr>
            <w:tcW w:w="1701" w:type="dxa"/>
          </w:tcPr>
          <w:p w:rsidR="000302C0" w:rsidRPr="00126721" w:rsidRDefault="000302C0" w:rsidP="000302C0">
            <w:pPr>
              <w:widowControl w:val="0"/>
              <w:suppressLineNumbers/>
              <w:suppressAutoHyphens/>
              <w:ind w:right="-709"/>
            </w:pPr>
            <w:r w:rsidRPr="00126721">
              <w:t>PN-EN 1008</w:t>
            </w:r>
            <w:r w:rsidRPr="00126721">
              <w:tab/>
            </w:r>
          </w:p>
        </w:tc>
        <w:tc>
          <w:tcPr>
            <w:tcW w:w="7273" w:type="dxa"/>
          </w:tcPr>
          <w:p w:rsidR="000302C0" w:rsidRPr="00126721" w:rsidRDefault="000302C0" w:rsidP="000302C0">
            <w:pPr>
              <w:widowControl w:val="0"/>
              <w:suppressLineNumbers/>
              <w:suppressAutoHyphens/>
              <w:ind w:right="-709"/>
            </w:pPr>
            <w:r w:rsidRPr="00126721">
              <w:t xml:space="preserve">Woda </w:t>
            </w:r>
            <w:proofErr w:type="spellStart"/>
            <w:r w:rsidRPr="00126721">
              <w:t>zarobowa</w:t>
            </w:r>
            <w:proofErr w:type="spellEnd"/>
            <w:r w:rsidRPr="00126721">
              <w:t xml:space="preserve"> do produkcji betonów</w:t>
            </w:r>
          </w:p>
        </w:tc>
      </w:tr>
    </w:tbl>
    <w:p w:rsidR="000302C0" w:rsidRDefault="000302C0" w:rsidP="000302C0">
      <w:pPr>
        <w:keepNext/>
        <w:widowControl w:val="0"/>
        <w:tabs>
          <w:tab w:val="left" w:pos="-1725"/>
          <w:tab w:val="left" w:pos="-1440"/>
          <w:tab w:val="left" w:pos="-1005"/>
          <w:tab w:val="left" w:pos="-720"/>
          <w:tab w:val="left" w:pos="-285"/>
          <w:tab w:val="left" w:pos="3"/>
          <w:tab w:val="left" w:pos="147"/>
          <w:tab w:val="left" w:pos="291"/>
          <w:tab w:val="left" w:pos="435"/>
          <w:tab w:val="left" w:pos="567"/>
          <w:tab w:val="left" w:pos="709"/>
          <w:tab w:val="left" w:pos="867"/>
          <w:tab w:val="left" w:pos="1011"/>
          <w:tab w:val="left" w:pos="1155"/>
          <w:tab w:val="left" w:pos="1299"/>
          <w:tab w:val="left" w:pos="1875"/>
          <w:tab w:val="left" w:pos="1925"/>
          <w:tab w:val="left" w:pos="2595"/>
          <w:tab w:val="left" w:pos="3315"/>
          <w:tab w:val="left" w:pos="4035"/>
          <w:tab w:val="left" w:pos="4755"/>
          <w:tab w:val="left" w:pos="4984"/>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before="60" w:after="60" w:line="312" w:lineRule="auto"/>
        <w:ind w:right="-709"/>
        <w:outlineLvl w:val="0"/>
        <w:rPr>
          <w:rFonts w:ascii="Arial" w:hAnsi="Arial" w:cs="Arial"/>
          <w:b/>
          <w:bCs/>
          <w:caps/>
          <w:spacing w:val="-3"/>
        </w:rPr>
      </w:pPr>
    </w:p>
    <w:p w:rsidR="00FE3A75" w:rsidRPr="000302C0" w:rsidRDefault="00FE3A75" w:rsidP="000302C0">
      <w:pPr>
        <w:ind w:right="-709"/>
        <w:rPr>
          <w:rFonts w:ascii="Arial" w:hAnsi="Arial" w:cs="Arial"/>
          <w:b/>
          <w:bCs/>
          <w:caps/>
          <w:spacing w:val="-3"/>
        </w:rPr>
      </w:pPr>
    </w:p>
    <w:sectPr w:rsidR="00FE3A75" w:rsidRPr="000302C0" w:rsidSect="000302C0">
      <w:footerReference w:type="default" r:id="rId9"/>
      <w:pgSz w:w="11906" w:h="16838"/>
      <w:pgMar w:top="851" w:right="1417" w:bottom="709" w:left="1417" w:header="708" w:footer="708"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4AD" w:rsidRDefault="008764AD" w:rsidP="000302C0">
      <w:r>
        <w:separator/>
      </w:r>
    </w:p>
  </w:endnote>
  <w:endnote w:type="continuationSeparator" w:id="0">
    <w:p w:rsidR="008764AD" w:rsidRDefault="008764AD" w:rsidP="000302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C0" w:rsidRDefault="000302C0">
    <w:pPr>
      <w:pStyle w:val="Stopka"/>
      <w:jc w:val="center"/>
    </w:pPr>
  </w:p>
  <w:p w:rsidR="000302C0" w:rsidRDefault="000302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4AD" w:rsidRDefault="008764AD" w:rsidP="000302C0">
      <w:r>
        <w:separator/>
      </w:r>
    </w:p>
  </w:footnote>
  <w:footnote w:type="continuationSeparator" w:id="0">
    <w:p w:rsidR="008764AD" w:rsidRDefault="008764AD" w:rsidP="0003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B0D8AC"/>
    <w:lvl w:ilvl="0">
      <w:numFmt w:val="bullet"/>
      <w:lvlText w:val="*"/>
      <w:lvlJc w:val="left"/>
    </w:lvl>
  </w:abstractNum>
  <w:abstractNum w:abstractNumId="1">
    <w:nsid w:val="052B73F5"/>
    <w:multiLevelType w:val="singleLevel"/>
    <w:tmpl w:val="F8628A34"/>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1"/>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302C0"/>
    <w:rsid w:val="000302C0"/>
    <w:rsid w:val="001F182C"/>
    <w:rsid w:val="00234A94"/>
    <w:rsid w:val="004015DF"/>
    <w:rsid w:val="0042722A"/>
    <w:rsid w:val="00627B2B"/>
    <w:rsid w:val="006D0EF2"/>
    <w:rsid w:val="007807C2"/>
    <w:rsid w:val="007E75BC"/>
    <w:rsid w:val="00862633"/>
    <w:rsid w:val="008764AD"/>
    <w:rsid w:val="00D54FF8"/>
    <w:rsid w:val="00EB1EFB"/>
    <w:rsid w:val="00FE3A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0302C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qFormat/>
    <w:rsid w:val="000302C0"/>
    <w:pPr>
      <w:keepNext/>
      <w:spacing w:before="120" w:after="12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02C0"/>
    <w:rPr>
      <w:rFonts w:ascii="Times New Roman" w:eastAsia="Times New Roman" w:hAnsi="Times New Roman" w:cs="Times New Roman"/>
      <w:b/>
      <w:sz w:val="20"/>
      <w:szCs w:val="20"/>
      <w:lang w:eastAsia="pl-PL"/>
    </w:rPr>
  </w:style>
  <w:style w:type="paragraph" w:styleId="Nagwek">
    <w:name w:val="header"/>
    <w:basedOn w:val="Normalny"/>
    <w:link w:val="NagwekZnak"/>
    <w:uiPriority w:val="99"/>
    <w:semiHidden/>
    <w:unhideWhenUsed/>
    <w:rsid w:val="000302C0"/>
    <w:pPr>
      <w:tabs>
        <w:tab w:val="center" w:pos="4536"/>
        <w:tab w:val="right" w:pos="9072"/>
      </w:tabs>
    </w:pPr>
  </w:style>
  <w:style w:type="character" w:customStyle="1" w:styleId="NagwekZnak">
    <w:name w:val="Nagłówek Znak"/>
    <w:basedOn w:val="Domylnaczcionkaakapitu"/>
    <w:link w:val="Nagwek"/>
    <w:uiPriority w:val="99"/>
    <w:semiHidden/>
    <w:rsid w:val="000302C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02C0"/>
    <w:pPr>
      <w:tabs>
        <w:tab w:val="center" w:pos="4536"/>
        <w:tab w:val="right" w:pos="9072"/>
      </w:tabs>
    </w:pPr>
  </w:style>
  <w:style w:type="character" w:customStyle="1" w:styleId="StopkaZnak">
    <w:name w:val="Stopka Znak"/>
    <w:basedOn w:val="Domylnaczcionkaakapitu"/>
    <w:link w:val="Stopka"/>
    <w:uiPriority w:val="99"/>
    <w:rsid w:val="000302C0"/>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4442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3028</Words>
  <Characters>18169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ANGELIKA</cp:lastModifiedBy>
  <cp:revision>5</cp:revision>
  <dcterms:created xsi:type="dcterms:W3CDTF">2017-10-20T15:30:00Z</dcterms:created>
  <dcterms:modified xsi:type="dcterms:W3CDTF">2019-05-06T09:10:00Z</dcterms:modified>
</cp:coreProperties>
</file>