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53B2" w:rsidRDefault="00E353B2">
      <w:pPr>
        <w:jc w:val="center"/>
        <w:rPr>
          <w:b/>
          <w:sz w:val="28"/>
        </w:rPr>
      </w:pPr>
    </w:p>
    <w:p w:rsidR="008257AF" w:rsidRDefault="008257AF" w:rsidP="008257AF">
      <w:pPr>
        <w:jc w:val="center"/>
        <w:rPr>
          <w:b/>
          <w:sz w:val="28"/>
        </w:rPr>
      </w:pPr>
      <w:r>
        <w:rPr>
          <w:b/>
          <w:sz w:val="28"/>
        </w:rPr>
        <w:t>D – 10.05.01a</w:t>
      </w:r>
      <w:r w:rsidR="00BA7BDD">
        <w:rPr>
          <w:b/>
          <w:sz w:val="28"/>
        </w:rPr>
        <w:t xml:space="preserve"> </w:t>
      </w:r>
      <w:r>
        <w:rPr>
          <w:b/>
          <w:sz w:val="28"/>
        </w:rPr>
        <w:t>CIĄG  PIESZO-ROWEROWY</w:t>
      </w:r>
    </w:p>
    <w:p w:rsidR="00E353B2" w:rsidRDefault="00E353B2">
      <w:pPr>
        <w:jc w:val="center"/>
        <w:rPr>
          <w:b/>
          <w:sz w:val="27"/>
        </w:rPr>
      </w:pPr>
    </w:p>
    <w:p w:rsidR="00CB1503" w:rsidRPr="005811CB" w:rsidRDefault="00CB1503" w:rsidP="00CB1503">
      <w:pPr>
        <w:pStyle w:val="Nagwek1"/>
        <w:rPr>
          <w:szCs w:val="24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5811CB">
        <w:rPr>
          <w:szCs w:val="24"/>
        </w:rPr>
        <w:t xml:space="preserve">1. </w:t>
      </w:r>
      <w:bookmarkEnd w:id="0"/>
      <w:bookmarkEnd w:id="1"/>
      <w:bookmarkEnd w:id="2"/>
      <w:r w:rsidR="00DE22B8">
        <w:rPr>
          <w:szCs w:val="24"/>
        </w:rPr>
        <w:t>Wstęp</w:t>
      </w:r>
      <w:bookmarkEnd w:id="3"/>
    </w:p>
    <w:p w:rsidR="008257AF" w:rsidRDefault="00BA7BDD" w:rsidP="008257AF">
      <w:pPr>
        <w:pStyle w:val="Nagwek2"/>
      </w:pPr>
      <w:bookmarkStart w:id="4" w:name="_Toc405615031"/>
      <w:bookmarkStart w:id="5" w:name="_Toc407161179"/>
      <w:bookmarkStart w:id="6" w:name="_Toc344981394"/>
      <w:r>
        <w:t xml:space="preserve">1.1. Przedmiot </w:t>
      </w:r>
      <w:r w:rsidR="008257AF">
        <w:t>ST</w:t>
      </w:r>
      <w:bookmarkEnd w:id="4"/>
      <w:bookmarkEnd w:id="5"/>
    </w:p>
    <w:p w:rsidR="008257AF" w:rsidRPr="009C35D4" w:rsidRDefault="008257AF" w:rsidP="008257AF">
      <w:pPr>
        <w:pStyle w:val="Standardowytekst"/>
        <w:rPr>
          <w:sz w:val="24"/>
          <w:szCs w:val="24"/>
        </w:rPr>
      </w:pPr>
      <w:r>
        <w:tab/>
      </w:r>
      <w:r w:rsidRPr="009C35D4">
        <w:rPr>
          <w:sz w:val="24"/>
          <w:szCs w:val="24"/>
        </w:rPr>
        <w:t xml:space="preserve">Przedmiotem niniejszej </w:t>
      </w:r>
      <w:r w:rsidR="00BA7BDD">
        <w:rPr>
          <w:sz w:val="24"/>
          <w:szCs w:val="24"/>
        </w:rPr>
        <w:t>specyfikacji technicznej (</w:t>
      </w:r>
      <w:r w:rsidRPr="009C35D4">
        <w:rPr>
          <w:sz w:val="24"/>
          <w:szCs w:val="24"/>
        </w:rPr>
        <w:t>ST) są wymagania dotyczące wykonania i odbioru robót związanych z budową ciągu pieszo-rowerowego.</w:t>
      </w:r>
    </w:p>
    <w:p w:rsidR="008257AF" w:rsidRPr="009C35D4" w:rsidRDefault="00BA7BDD" w:rsidP="008257AF">
      <w:pPr>
        <w:pStyle w:val="Nagwek2"/>
        <w:rPr>
          <w:szCs w:val="24"/>
        </w:rPr>
      </w:pPr>
      <w:bookmarkStart w:id="7" w:name="_Toc405615032"/>
      <w:bookmarkStart w:id="8" w:name="_Toc407161180"/>
      <w:r>
        <w:rPr>
          <w:szCs w:val="24"/>
        </w:rPr>
        <w:t xml:space="preserve">1.2. Zakres stosowania </w:t>
      </w:r>
      <w:r w:rsidR="008257AF" w:rsidRPr="009C35D4">
        <w:rPr>
          <w:szCs w:val="24"/>
        </w:rPr>
        <w:t>ST</w:t>
      </w:r>
      <w:bookmarkEnd w:id="7"/>
      <w:bookmarkEnd w:id="8"/>
    </w:p>
    <w:p w:rsidR="008257AF" w:rsidRPr="009C35D4" w:rsidRDefault="00BA7BDD" w:rsidP="008257AF">
      <w:pPr>
        <w:pStyle w:val="Standardowytekst"/>
        <w:rPr>
          <w:sz w:val="24"/>
          <w:szCs w:val="24"/>
        </w:rPr>
      </w:pPr>
      <w:r>
        <w:rPr>
          <w:sz w:val="24"/>
          <w:szCs w:val="24"/>
        </w:rPr>
        <w:t>Specyfikacja techniczna (</w:t>
      </w:r>
      <w:r w:rsidR="008257AF" w:rsidRPr="009C35D4">
        <w:rPr>
          <w:sz w:val="24"/>
          <w:szCs w:val="24"/>
        </w:rPr>
        <w:t>ST) jest materiałem stosowan</w:t>
      </w:r>
      <w:r>
        <w:rPr>
          <w:sz w:val="24"/>
          <w:szCs w:val="24"/>
        </w:rPr>
        <w:t>ym</w:t>
      </w:r>
      <w:r w:rsidR="008257AF" w:rsidRPr="009C35D4">
        <w:rPr>
          <w:sz w:val="24"/>
          <w:szCs w:val="24"/>
        </w:rPr>
        <w:t xml:space="preserve"> jako dokument przetargowy i kontraktowy przy zlecaniu i realizacji robót na drogach i ulicach.</w:t>
      </w:r>
    </w:p>
    <w:p w:rsidR="008257AF" w:rsidRPr="009C35D4" w:rsidRDefault="00BA7BDD" w:rsidP="008257AF">
      <w:pPr>
        <w:pStyle w:val="Nagwek2"/>
        <w:rPr>
          <w:szCs w:val="24"/>
        </w:rPr>
      </w:pPr>
      <w:bookmarkStart w:id="9" w:name="_Toc405615033"/>
      <w:bookmarkStart w:id="10" w:name="_Toc407161181"/>
      <w:r>
        <w:rPr>
          <w:szCs w:val="24"/>
        </w:rPr>
        <w:t xml:space="preserve">1.3. Zakres robót objętych </w:t>
      </w:r>
      <w:r w:rsidR="008257AF" w:rsidRPr="009C35D4">
        <w:rPr>
          <w:szCs w:val="24"/>
        </w:rPr>
        <w:t>ST</w:t>
      </w:r>
      <w:bookmarkEnd w:id="9"/>
      <w:bookmarkEnd w:id="10"/>
    </w:p>
    <w:p w:rsidR="008257AF" w:rsidRDefault="008257AF" w:rsidP="008257AF">
      <w:r>
        <w:tab/>
        <w:t>Ustalenia zawarte w niniejszej specyfikacji dotyczą zasad prowadzenia robót związanych z wykonaniem i odbiorem wybudowanego ciągu pieszo-rowerowego, składającego się z położonych obok siebie chodnika i ścieżki rowerowej.</w:t>
      </w:r>
    </w:p>
    <w:p w:rsidR="008257AF" w:rsidRDefault="008257AF" w:rsidP="008257AF">
      <w:pPr>
        <w:pStyle w:val="Nagwek2"/>
      </w:pPr>
      <w:r>
        <w:t>1.4. Określenia podstawowe</w:t>
      </w:r>
    </w:p>
    <w:p w:rsidR="008257AF" w:rsidRDefault="008257AF" w:rsidP="009C35D4">
      <w:pPr>
        <w:numPr>
          <w:ilvl w:val="0"/>
          <w:numId w:val="24"/>
        </w:numPr>
        <w:ind w:left="0" w:firstLine="0"/>
      </w:pPr>
      <w:r>
        <w:t xml:space="preserve">Ciąg pieszo-rowerowy </w:t>
      </w:r>
      <w:r w:rsidRPr="008B3BF2">
        <w:t xml:space="preserve">(droga dla rowerów i pieszych) </w:t>
      </w:r>
      <w:r>
        <w:t>– pas terenu przeznaczony i przystosowany dla wspólnego użytkowania przez rowerzystów i pieszych</w:t>
      </w:r>
      <w:r w:rsidR="009C35D4">
        <w:t>,</w:t>
      </w:r>
      <w:r>
        <w:t xml:space="preserve"> np. składający</w:t>
      </w:r>
      <w:r w:rsidRPr="009E375F">
        <w:t xml:space="preserve"> się z chodnika i ścieżki rowerowej położonych obok siebie</w:t>
      </w:r>
      <w:r>
        <w:t>, zlokalizowany w pasie drogi (ulicy) lub poza nim.</w:t>
      </w:r>
      <w:r>
        <w:br/>
        <w:t>(Wspólne użytkowanie drogi przez rowerzystów i pieszych może być stosowane, jeżeli natężenie ruchu pieszego nie przekracza 450 osób/h, a natężenie rowerów nie przekracza 50 rowerów/h lub też ruch pieszy jest nie większy niż 50 osób/h, a ruch rowerowy – nie przekracza 250 rowerów/h [25].)</w:t>
      </w:r>
    </w:p>
    <w:p w:rsidR="008257AF" w:rsidRDefault="008257AF" w:rsidP="008257AF">
      <w:pPr>
        <w:numPr>
          <w:ilvl w:val="0"/>
          <w:numId w:val="24"/>
        </w:numPr>
        <w:spacing w:before="120" w:after="120"/>
        <w:ind w:left="0" w:firstLine="0"/>
      </w:pPr>
      <w:r>
        <w:t>Chodnik –  część ulicy (drogi) przeznaczona dla ruchu pieszych.</w:t>
      </w:r>
    </w:p>
    <w:p w:rsidR="008257AF" w:rsidRDefault="008257AF" w:rsidP="008257AF">
      <w:pPr>
        <w:numPr>
          <w:ilvl w:val="0"/>
          <w:numId w:val="24"/>
        </w:numPr>
        <w:ind w:left="0" w:firstLine="0"/>
      </w:pPr>
      <w:r>
        <w:t>Ścieżka (droga) rowerowa – pas terenu przystosowany i przeznaczony wyłącznie dla ruchu rowerowego.</w:t>
      </w:r>
    </w:p>
    <w:p w:rsidR="008257AF" w:rsidRDefault="008257AF" w:rsidP="008257AF">
      <w:pPr>
        <w:spacing w:before="120"/>
      </w:pPr>
      <w:r>
        <w:rPr>
          <w:b/>
        </w:rPr>
        <w:t xml:space="preserve">1.4.4. </w:t>
      </w:r>
      <w:r>
        <w:t>Pozostałe określenia podstawowe są zgodne z obowiązującymi, odpowiednimi polskimi norm</w:t>
      </w:r>
      <w:r w:rsidR="00BA7BDD">
        <w:t xml:space="preserve">ami i z definicjami podanymi w </w:t>
      </w:r>
      <w:r>
        <w:t xml:space="preserve">ST D-M-00.00.00 „Wymagania ogólne” [1]  </w:t>
      </w:r>
      <w:proofErr w:type="spellStart"/>
      <w:r>
        <w:t>pkt</w:t>
      </w:r>
      <w:proofErr w:type="spellEnd"/>
      <w:r>
        <w:t xml:space="preserve"> 1.4. </w:t>
      </w:r>
    </w:p>
    <w:p w:rsidR="008257AF" w:rsidRDefault="008257AF" w:rsidP="008257AF">
      <w:pPr>
        <w:pStyle w:val="Nagwek2"/>
      </w:pPr>
      <w:r>
        <w:t>1.5. Ogólne wymagania dotyczące robót</w:t>
      </w:r>
    </w:p>
    <w:p w:rsidR="008257AF" w:rsidRDefault="008257AF" w:rsidP="008257AF">
      <w:r>
        <w:tab/>
        <w:t>Ogólne wyma</w:t>
      </w:r>
      <w:r w:rsidR="00BA7BDD">
        <w:t xml:space="preserve">gania dotyczące robót podano w </w:t>
      </w:r>
      <w:r>
        <w:t xml:space="preserve">ST D-M-00.00.00 „Wymagania ogólne” [1] </w:t>
      </w:r>
      <w:proofErr w:type="spellStart"/>
      <w:r>
        <w:t>pkt</w:t>
      </w:r>
      <w:proofErr w:type="spellEnd"/>
      <w:r>
        <w:t xml:space="preserve"> 1.5.</w:t>
      </w:r>
    </w:p>
    <w:p w:rsidR="00CB62CF" w:rsidRDefault="00CB62CF" w:rsidP="00CB62CF">
      <w:pPr>
        <w:pStyle w:val="Nagwek1"/>
      </w:pPr>
      <w:r>
        <w:t xml:space="preserve">2. </w:t>
      </w:r>
      <w:r w:rsidR="00DE22B8">
        <w:t>Materiały</w:t>
      </w:r>
      <w:bookmarkEnd w:id="6"/>
    </w:p>
    <w:p w:rsidR="00D635E6" w:rsidRDefault="00D635E6" w:rsidP="00D635E6">
      <w:pPr>
        <w:pStyle w:val="Nagwek2"/>
      </w:pPr>
      <w:bookmarkStart w:id="11" w:name="_Toc344981395"/>
      <w:r>
        <w:t>2.1. Ogólne wymagania dotyczące materiałów</w:t>
      </w:r>
    </w:p>
    <w:p w:rsidR="00D635E6" w:rsidRDefault="00D635E6" w:rsidP="00D635E6">
      <w:r>
        <w:tab/>
        <w:t>Ogólne wymagania dotyczące materiałów, ich pozyski</w:t>
      </w:r>
      <w:r w:rsidR="00BA7BDD">
        <w:t xml:space="preserve">wania i składowania, podano w  </w:t>
      </w:r>
      <w:r>
        <w:t xml:space="preserve">ST D-M-00.00.00 „Wymagania ogólne” [1] </w:t>
      </w:r>
      <w:proofErr w:type="spellStart"/>
      <w:r>
        <w:t>pkt</w:t>
      </w:r>
      <w:proofErr w:type="spellEnd"/>
      <w:r>
        <w:t xml:space="preserve"> 2.</w:t>
      </w:r>
    </w:p>
    <w:p w:rsidR="00D635E6" w:rsidRDefault="009C35D4" w:rsidP="00D635E6">
      <w:pPr>
        <w:pStyle w:val="Nagwek2"/>
      </w:pPr>
      <w:r>
        <w:br w:type="page"/>
      </w:r>
      <w:r w:rsidR="00D635E6">
        <w:lastRenderedPageBreak/>
        <w:t>2.2. Materiały do wykonania robót</w:t>
      </w:r>
    </w:p>
    <w:p w:rsidR="00D635E6" w:rsidRDefault="00D635E6" w:rsidP="00D635E6">
      <w:r>
        <w:rPr>
          <w:b/>
        </w:rPr>
        <w:t xml:space="preserve">2.2.1. </w:t>
      </w:r>
      <w:r>
        <w:t xml:space="preserve">Zgodność materiałów z dokumentacją projektową </w:t>
      </w:r>
    </w:p>
    <w:p w:rsidR="00D635E6" w:rsidRDefault="00D635E6" w:rsidP="00D635E6">
      <w:pPr>
        <w:spacing w:before="120"/>
      </w:pPr>
      <w:r>
        <w:tab/>
        <w:t>Materiały do wykonania robót powinny być zgodne z ustaleniami dokumentacji projektowej lub ST.</w:t>
      </w:r>
    </w:p>
    <w:p w:rsidR="008257AF" w:rsidRDefault="008257AF" w:rsidP="008257AF">
      <w:pPr>
        <w:spacing w:before="120" w:after="120"/>
      </w:pPr>
      <w:r>
        <w:rPr>
          <w:b/>
        </w:rPr>
        <w:t xml:space="preserve">2.2.2. </w:t>
      </w:r>
      <w:r>
        <w:t>Materiały do budowy ciągu pieszo-rowerowego</w:t>
      </w:r>
    </w:p>
    <w:p w:rsidR="008257AF" w:rsidRDefault="008257AF" w:rsidP="008257AF">
      <w:r>
        <w:tab/>
        <w:t xml:space="preserve">Materiały do budowy ciągu pieszo-rowerowego powinny odpowiadać wymaganiom określonym przez przepisy podane w </w:t>
      </w:r>
      <w:r w:rsidR="00BA7BDD">
        <w:t xml:space="preserve">punkcie 5 niniejszej </w:t>
      </w:r>
      <w:r>
        <w:t>ST.</w:t>
      </w:r>
    </w:p>
    <w:p w:rsidR="008257AF" w:rsidRDefault="008257AF" w:rsidP="008257AF">
      <w:r>
        <w:tab/>
        <w:t>Wykonawca uzyska dokumenty dopuszczające wyroby budowlane do stosowania zgodnie z punktem 6.2.</w:t>
      </w:r>
    </w:p>
    <w:p w:rsidR="008257AF" w:rsidRDefault="008257AF" w:rsidP="008257AF">
      <w:r>
        <w:tab/>
        <w:t>Przy składowaniu materiałów do budowy ciągu pieszo-rowerowego należy przestrzegać zaleceń producentów.</w:t>
      </w:r>
    </w:p>
    <w:p w:rsidR="00DE22B8" w:rsidRDefault="00DE22B8" w:rsidP="00DE22B8">
      <w:pPr>
        <w:pStyle w:val="Nagwek1"/>
      </w:pPr>
      <w:r>
        <w:t>3. Sprzęt</w:t>
      </w:r>
      <w:bookmarkEnd w:id="11"/>
    </w:p>
    <w:p w:rsidR="00D635E6" w:rsidRDefault="00D635E6" w:rsidP="00D635E6">
      <w:pPr>
        <w:pStyle w:val="Nagwek2"/>
        <w:numPr>
          <w:ilvl w:val="12"/>
          <w:numId w:val="0"/>
        </w:numPr>
      </w:pPr>
      <w:bookmarkStart w:id="12" w:name="_Toc344981396"/>
      <w:r>
        <w:t>3.1. Ogólne wymagania dotyczące sprzętu</w:t>
      </w:r>
    </w:p>
    <w:p w:rsidR="00D635E6" w:rsidRDefault="00D635E6" w:rsidP="00D635E6">
      <w:pPr>
        <w:numPr>
          <w:ilvl w:val="12"/>
          <w:numId w:val="0"/>
        </w:numPr>
      </w:pPr>
      <w:r>
        <w:tab/>
        <w:t>Ogólne wymaga</w:t>
      </w:r>
      <w:r w:rsidR="00BA7BDD">
        <w:t xml:space="preserve">nia dotyczące sprzętu podano w </w:t>
      </w:r>
      <w:r>
        <w:t xml:space="preserve">ST  D-M-00.00.00 „Wymagania ogólne” [1] </w:t>
      </w:r>
      <w:proofErr w:type="spellStart"/>
      <w:r>
        <w:t>pkt</w:t>
      </w:r>
      <w:proofErr w:type="spellEnd"/>
      <w:r>
        <w:t xml:space="preserve"> 3.</w:t>
      </w:r>
    </w:p>
    <w:p w:rsidR="008257AF" w:rsidRDefault="008257AF" w:rsidP="008257AF">
      <w:pPr>
        <w:pStyle w:val="Nagwek2"/>
      </w:pPr>
      <w:r>
        <w:t>3.2. Sprzęt stosowany do wykonania robót</w:t>
      </w:r>
    </w:p>
    <w:p w:rsidR="008257AF" w:rsidRDefault="008257AF" w:rsidP="008257AF">
      <w:r>
        <w:tab/>
        <w:t>Przy wykonywaniu robót Wykonawca</w:t>
      </w:r>
      <w:r w:rsidR="009C35D4">
        <w:t>,</w:t>
      </w:r>
      <w:r>
        <w:t xml:space="preserve"> w zależności od potrzeb, powinien wykazać się możliwością korzystania ze sprzętu dostosowanego do przyjętej metody robót przy budowie ciągu pieszo-rowerowego, w tym jego elementów:</w:t>
      </w:r>
    </w:p>
    <w:p w:rsidR="008257AF" w:rsidRDefault="008257AF" w:rsidP="008257AF">
      <w:pPr>
        <w:numPr>
          <w:ilvl w:val="0"/>
          <w:numId w:val="25"/>
        </w:numPr>
        <w:tabs>
          <w:tab w:val="clear" w:pos="3637"/>
          <w:tab w:val="num" w:pos="284"/>
        </w:tabs>
        <w:ind w:left="284" w:hanging="284"/>
      </w:pPr>
      <w:r>
        <w:t>nawierzchni i ew. podbudowy,</w:t>
      </w:r>
    </w:p>
    <w:p w:rsidR="008257AF" w:rsidRDefault="008257AF" w:rsidP="008257AF">
      <w:pPr>
        <w:numPr>
          <w:ilvl w:val="0"/>
          <w:numId w:val="25"/>
        </w:numPr>
        <w:tabs>
          <w:tab w:val="clear" w:pos="3637"/>
          <w:tab w:val="num" w:pos="284"/>
        </w:tabs>
        <w:ind w:left="284" w:hanging="284"/>
      </w:pPr>
      <w:r>
        <w:t>krawężnika z ławą,</w:t>
      </w:r>
    </w:p>
    <w:p w:rsidR="008257AF" w:rsidRDefault="008257AF" w:rsidP="008257AF">
      <w:pPr>
        <w:numPr>
          <w:ilvl w:val="0"/>
          <w:numId w:val="25"/>
        </w:numPr>
        <w:tabs>
          <w:tab w:val="clear" w:pos="3637"/>
          <w:tab w:val="num" w:pos="284"/>
        </w:tabs>
        <w:ind w:left="284" w:hanging="284"/>
      </w:pPr>
      <w:r>
        <w:t>obrzeża,</w:t>
      </w:r>
    </w:p>
    <w:p w:rsidR="008257AF" w:rsidRDefault="008257AF" w:rsidP="008257AF">
      <w:pPr>
        <w:numPr>
          <w:ilvl w:val="0"/>
          <w:numId w:val="25"/>
        </w:numPr>
        <w:tabs>
          <w:tab w:val="clear" w:pos="3637"/>
          <w:tab w:val="num" w:pos="284"/>
        </w:tabs>
        <w:ind w:left="284" w:hanging="284"/>
      </w:pPr>
      <w:r>
        <w:t>ew. ścieku ulicznego.</w:t>
      </w:r>
    </w:p>
    <w:p w:rsidR="008257AF" w:rsidRDefault="008257AF" w:rsidP="008257AF">
      <w:pPr>
        <w:ind w:firstLine="709"/>
      </w:pPr>
      <w:r>
        <w:t>Sprzęt powinien odpowiadać wymaganiom określonym w dokumentacji projektowej, ST, instrukcjach producentów lub propozycji Wykonawcy i powinien być zaakceptowany przez Inżyniera.</w:t>
      </w:r>
    </w:p>
    <w:p w:rsidR="00DE22B8" w:rsidRDefault="00DE22B8" w:rsidP="00DE22B8">
      <w:pPr>
        <w:pStyle w:val="Nagwek1"/>
      </w:pPr>
      <w:r>
        <w:t>4. Transport</w:t>
      </w:r>
      <w:bookmarkEnd w:id="12"/>
    </w:p>
    <w:p w:rsidR="00D635E6" w:rsidRDefault="00D635E6" w:rsidP="00D635E6">
      <w:pPr>
        <w:pStyle w:val="Nagwek2"/>
        <w:numPr>
          <w:ilvl w:val="12"/>
          <w:numId w:val="0"/>
        </w:numPr>
      </w:pPr>
      <w:bookmarkStart w:id="13" w:name="_Toc344981397"/>
      <w:r>
        <w:t>4.1. Ogólne wymagania dotyczące transportu</w:t>
      </w:r>
    </w:p>
    <w:p w:rsidR="00D635E6" w:rsidRDefault="00D635E6" w:rsidP="00D635E6">
      <w:pPr>
        <w:numPr>
          <w:ilvl w:val="12"/>
          <w:numId w:val="0"/>
        </w:numPr>
      </w:pPr>
      <w:r>
        <w:tab/>
        <w:t>Ogólne wymagania</w:t>
      </w:r>
      <w:r w:rsidR="00BA7BDD">
        <w:t xml:space="preserve"> dotyczące transportu podano w </w:t>
      </w:r>
      <w:r>
        <w:t xml:space="preserve">ST D-M-00.00.00 „Wymagania ogólne” [1] </w:t>
      </w:r>
      <w:proofErr w:type="spellStart"/>
      <w:r>
        <w:t>pkt</w:t>
      </w:r>
      <w:proofErr w:type="spellEnd"/>
      <w:r>
        <w:t xml:space="preserve"> 4.</w:t>
      </w:r>
      <w:r>
        <w:tab/>
      </w:r>
    </w:p>
    <w:p w:rsidR="00D635E6" w:rsidRDefault="00D635E6" w:rsidP="00D635E6">
      <w:pPr>
        <w:pStyle w:val="Nagwek2"/>
      </w:pPr>
      <w:r>
        <w:t xml:space="preserve">4.2. Transport materiałów </w:t>
      </w:r>
    </w:p>
    <w:p w:rsidR="008257AF" w:rsidRDefault="00D635E6" w:rsidP="008257AF">
      <w:r>
        <w:tab/>
      </w:r>
      <w:r w:rsidR="008257AF">
        <w:t>Materiały sypkie można przewozić dowolnymi środkami transportu, w warunkach zabezpieczających je przed zanieczyszczeniem, zmieszaniem z innymi materiałami i nadmiernym zawilgoceniem.</w:t>
      </w:r>
    </w:p>
    <w:p w:rsidR="008257AF" w:rsidRDefault="008257AF" w:rsidP="008257AF">
      <w:r>
        <w:tab/>
        <w:t>Transport materiałów powinien być dokonany w sposób odpowiadający wymaganiom odpowiednich przepisów wymie</w:t>
      </w:r>
      <w:r w:rsidR="00BA7BDD">
        <w:t xml:space="preserve">nionych w punkcie 5 niniejszej </w:t>
      </w:r>
      <w:r>
        <w:t>ST.</w:t>
      </w:r>
    </w:p>
    <w:p w:rsidR="00DE22B8" w:rsidRDefault="00DE22B8" w:rsidP="008257AF">
      <w:pPr>
        <w:pStyle w:val="Nagwek1"/>
      </w:pPr>
      <w:r>
        <w:t>5. Wykonanie robót</w:t>
      </w:r>
      <w:bookmarkEnd w:id="13"/>
    </w:p>
    <w:p w:rsidR="00D635E6" w:rsidRDefault="00D635E6" w:rsidP="00D635E6">
      <w:pPr>
        <w:pStyle w:val="Nagwek2"/>
        <w:numPr>
          <w:ilvl w:val="12"/>
          <w:numId w:val="0"/>
        </w:numPr>
      </w:pPr>
      <w:bookmarkStart w:id="14" w:name="_Toc344981398"/>
      <w:r>
        <w:t>5.1. Ogólne zasady wykonania robót</w:t>
      </w:r>
    </w:p>
    <w:p w:rsidR="00D635E6" w:rsidRDefault="00D635E6" w:rsidP="00D635E6">
      <w:pPr>
        <w:numPr>
          <w:ilvl w:val="12"/>
          <w:numId w:val="0"/>
        </w:numPr>
      </w:pPr>
      <w:r>
        <w:t>Ogólne z</w:t>
      </w:r>
      <w:r w:rsidR="00BA7BDD">
        <w:t xml:space="preserve">asady wykonania robót podano w </w:t>
      </w:r>
      <w:r>
        <w:t xml:space="preserve">ST D-M-00.00.00 „Wymagania ogólne” [1] </w:t>
      </w:r>
      <w:proofErr w:type="spellStart"/>
      <w:r>
        <w:t>pkt</w:t>
      </w:r>
      <w:proofErr w:type="spellEnd"/>
      <w:r>
        <w:t xml:space="preserve"> 5.</w:t>
      </w:r>
    </w:p>
    <w:p w:rsidR="008257AF" w:rsidRDefault="008257AF" w:rsidP="008257AF">
      <w:pPr>
        <w:pStyle w:val="Nagwek2"/>
      </w:pPr>
      <w:r>
        <w:lastRenderedPageBreak/>
        <w:t>5.2. Zasady wykonywania robót</w:t>
      </w:r>
    </w:p>
    <w:p w:rsidR="008257AF" w:rsidRDefault="008257AF" w:rsidP="008257AF">
      <w:pPr>
        <w:ind w:firstLine="709"/>
      </w:pPr>
      <w:r>
        <w:t>Sposób wykonania robót powinien być zgodny z dokumentacją projektową i ST. W przypadku braku wystarczających danych można korzystać z ustaleń podanych w niniejszej specyfikacji oraz z informacji podanych w załącznikach.</w:t>
      </w:r>
    </w:p>
    <w:p w:rsidR="008257AF" w:rsidRDefault="008257AF" w:rsidP="008257AF">
      <w:r>
        <w:tab/>
        <w:t>Podstawowe czynności przy wykonywaniu robót obejmują:</w:t>
      </w:r>
    </w:p>
    <w:p w:rsidR="008257AF" w:rsidRDefault="008257AF" w:rsidP="008257AF">
      <w:pPr>
        <w:numPr>
          <w:ilvl w:val="0"/>
          <w:numId w:val="26"/>
        </w:numPr>
        <w:tabs>
          <w:tab w:val="clear" w:pos="720"/>
          <w:tab w:val="num" w:pos="284"/>
        </w:tabs>
        <w:ind w:hanging="720"/>
      </w:pPr>
      <w:r>
        <w:t>roboty przygotowawcze,</w:t>
      </w:r>
    </w:p>
    <w:p w:rsidR="008257AF" w:rsidRDefault="008257AF" w:rsidP="008257AF">
      <w:pPr>
        <w:numPr>
          <w:ilvl w:val="0"/>
          <w:numId w:val="26"/>
        </w:numPr>
        <w:tabs>
          <w:tab w:val="clear" w:pos="720"/>
          <w:tab w:val="num" w:pos="284"/>
        </w:tabs>
        <w:ind w:hanging="720"/>
      </w:pPr>
      <w:r>
        <w:t>roboty nawierzchniowe,</w:t>
      </w:r>
    </w:p>
    <w:p w:rsidR="008257AF" w:rsidRDefault="008257AF" w:rsidP="008257AF">
      <w:pPr>
        <w:numPr>
          <w:ilvl w:val="0"/>
          <w:numId w:val="26"/>
        </w:numPr>
        <w:tabs>
          <w:tab w:val="clear" w:pos="720"/>
          <w:tab w:val="num" w:pos="284"/>
        </w:tabs>
        <w:ind w:hanging="720"/>
      </w:pPr>
      <w:r>
        <w:t>roboty wykończeniowe.</w:t>
      </w:r>
    </w:p>
    <w:p w:rsidR="008257AF" w:rsidRDefault="008257AF" w:rsidP="008257AF">
      <w:pPr>
        <w:pStyle w:val="Nagwek2"/>
      </w:pPr>
      <w:r>
        <w:t>5.3. Zasady konstruowania ciągu pieszo-rowerowego</w:t>
      </w:r>
    </w:p>
    <w:p w:rsidR="008257AF" w:rsidRDefault="008257AF" w:rsidP="008257AF">
      <w:r>
        <w:tab/>
        <w:t>Ciąg pieszo-rowerowy powinien być ustalony w dokumentacji projektowej w zakresie rozwiązań geometrycznych i technologicznych. W przypadku niewystarczających danych można przyjąć następujące ustalenia:</w:t>
      </w:r>
    </w:p>
    <w:p w:rsidR="008257AF" w:rsidRDefault="008257AF" w:rsidP="008257AF">
      <w:pPr>
        <w:numPr>
          <w:ilvl w:val="0"/>
          <w:numId w:val="27"/>
        </w:numPr>
      </w:pPr>
      <w:r w:rsidRPr="008B3BF2">
        <w:t>Jeżeli to możliwe</w:t>
      </w:r>
      <w:r w:rsidR="006837AC" w:rsidRPr="008B3BF2">
        <w:t>,</w:t>
      </w:r>
      <w:r w:rsidRPr="008B3BF2">
        <w:t xml:space="preserve"> pas przeznaczony dla rowerów powinien znajdować się bliżej jezdni, a pas dla pieszych</w:t>
      </w:r>
      <w:r>
        <w:t xml:space="preserve"> od strony posesji; zaleca się odróżnić kolorystycznie nawierzchnie obydwu pasów ciągu pieszo-rowerowego,</w:t>
      </w:r>
    </w:p>
    <w:p w:rsidR="008257AF" w:rsidRDefault="008257AF" w:rsidP="008257AF">
      <w:pPr>
        <w:numPr>
          <w:ilvl w:val="0"/>
          <w:numId w:val="27"/>
        </w:numPr>
      </w:pPr>
      <w:r>
        <w:t xml:space="preserve">wzdłuż ulic ciąg pieszo-rowerowy powinien być wyniesiony ponad krawędź jezdni i oddzielony krawężnikiem, natomiast wzdłuż dróg może być stosowany samodzielny ciąg pieszo-rowerowy, usytuowany poza pasem drogowym lub usytuowany na koronie drogi, oddzielony od jezdni bocznym pasem dzielącym o szerokości nie mniejszej niż </w:t>
      </w:r>
      <w:smartTag w:uri="urn:schemas-microsoft-com:office:smarttags" w:element="metricconverter">
        <w:smartTagPr>
          <w:attr w:name="ProductID" w:val="1,0 m"/>
        </w:smartTagPr>
        <w:r>
          <w:t>1,0 m</w:t>
        </w:r>
      </w:smartTag>
      <w:r>
        <w:t>,</w:t>
      </w:r>
    </w:p>
    <w:p w:rsidR="008257AF" w:rsidRDefault="008257AF" w:rsidP="008257AF">
      <w:pPr>
        <w:numPr>
          <w:ilvl w:val="0"/>
          <w:numId w:val="27"/>
        </w:numPr>
      </w:pPr>
      <w:r>
        <w:t>szerokość i pochylenie podłużne oraz poprzeczne ścieżki rowerowej i chodnika powinny być zgodne z przepisami [24] (zał. 1),</w:t>
      </w:r>
    </w:p>
    <w:p w:rsidR="008257AF" w:rsidRDefault="008257AF" w:rsidP="008257AF">
      <w:pPr>
        <w:numPr>
          <w:ilvl w:val="0"/>
          <w:numId w:val="27"/>
        </w:numPr>
      </w:pPr>
      <w:r>
        <w:t>odległość ciągu pieszo-rowerowego od krawędzi jezdni uzależniona jest od klasy drogi i należy ją ustalać według przepisu [24] (zał. 1),</w:t>
      </w:r>
    </w:p>
    <w:p w:rsidR="008257AF" w:rsidRDefault="008257AF" w:rsidP="008257AF">
      <w:pPr>
        <w:numPr>
          <w:ilvl w:val="0"/>
          <w:numId w:val="27"/>
        </w:numPr>
      </w:pPr>
      <w:r>
        <w:t xml:space="preserve">zalecane konstrukcje nawierzchni dla ścieżek rowerowych i </w:t>
      </w:r>
      <w:r w:rsidR="006837AC">
        <w:t>chodników podano w załączniku 2</w:t>
      </w:r>
      <w:r>
        <w:t>.</w:t>
      </w:r>
    </w:p>
    <w:p w:rsidR="008257AF" w:rsidRDefault="008257AF" w:rsidP="008257AF">
      <w:pPr>
        <w:pStyle w:val="Nagwek2"/>
      </w:pPr>
      <w:r>
        <w:t xml:space="preserve">5.4. Roboty przygotowawcze  </w:t>
      </w:r>
    </w:p>
    <w:p w:rsidR="008257AF" w:rsidRDefault="008257AF" w:rsidP="008257AF">
      <w:r>
        <w:tab/>
        <w:t>Przed przystąpieniem do robót należy, na podstawie dokumentacji projektowej,  ST lub wskazań Inżyniera:</w:t>
      </w:r>
    </w:p>
    <w:p w:rsidR="008257AF" w:rsidRDefault="008257AF" w:rsidP="008257AF">
      <w:pPr>
        <w:numPr>
          <w:ilvl w:val="0"/>
          <w:numId w:val="20"/>
        </w:numPr>
      </w:pPr>
      <w:r>
        <w:t>ustalić lokalizację robót,</w:t>
      </w:r>
    </w:p>
    <w:p w:rsidR="008257AF" w:rsidRDefault="008257AF" w:rsidP="008257AF">
      <w:pPr>
        <w:numPr>
          <w:ilvl w:val="0"/>
          <w:numId w:val="20"/>
        </w:numPr>
      </w:pPr>
      <w:r>
        <w:t>przeprowadzić obliczenia i pomiary niezbędne do szczegółowego wytyczenia robót oraz ustalenia danych wysokościowych,</w:t>
      </w:r>
    </w:p>
    <w:p w:rsidR="008257AF" w:rsidRDefault="008257AF" w:rsidP="008257AF">
      <w:pPr>
        <w:numPr>
          <w:ilvl w:val="0"/>
          <w:numId w:val="20"/>
        </w:numPr>
      </w:pPr>
      <w:r>
        <w:t>usunąć przeszkody, utrudniające wykonanie robót,</w:t>
      </w:r>
    </w:p>
    <w:p w:rsidR="008257AF" w:rsidRDefault="008257AF" w:rsidP="008257AF">
      <w:pPr>
        <w:numPr>
          <w:ilvl w:val="0"/>
          <w:numId w:val="20"/>
        </w:numPr>
      </w:pPr>
      <w:r>
        <w:t>wprowadzić oznakowanie drogi na okres robót,</w:t>
      </w:r>
    </w:p>
    <w:p w:rsidR="008257AF" w:rsidRDefault="008257AF" w:rsidP="008257AF">
      <w:pPr>
        <w:numPr>
          <w:ilvl w:val="0"/>
          <w:numId w:val="20"/>
        </w:numPr>
      </w:pPr>
      <w:r>
        <w:t>zgromadzić materiały i sprzęt potrzebne do rozpoczęcia robót.</w:t>
      </w:r>
    </w:p>
    <w:p w:rsidR="00BA7BDD" w:rsidRDefault="00BA7BDD" w:rsidP="00BA7BDD">
      <w:pPr>
        <w:ind w:firstLine="709"/>
      </w:pPr>
      <w:r>
        <w:t xml:space="preserve">Można dodatkowo korzystać z </w:t>
      </w:r>
      <w:r w:rsidR="008257AF">
        <w:t>ST D-01.00.00 [2] przy ro</w:t>
      </w:r>
      <w:r>
        <w:t xml:space="preserve">botach przygotowawczych oraz z </w:t>
      </w:r>
      <w:r w:rsidR="008257AF">
        <w:t>ST D-02.00.00 [3] przy występowaniu robót ziemnych.</w:t>
      </w:r>
    </w:p>
    <w:p w:rsidR="008257AF" w:rsidRDefault="00BA7BDD" w:rsidP="00BA7BDD">
      <w:pPr>
        <w:ind w:firstLine="709"/>
      </w:pPr>
      <w:r w:rsidRPr="00BA7BDD">
        <w:rPr>
          <w:b/>
        </w:rPr>
        <w:t>5.5.</w:t>
      </w:r>
      <w:r>
        <w:t xml:space="preserve"> </w:t>
      </w:r>
      <w:r w:rsidR="008257AF">
        <w:t>Roboty nawierzchniowe</w:t>
      </w:r>
    </w:p>
    <w:p w:rsidR="008257AF" w:rsidRDefault="008257AF" w:rsidP="008257AF">
      <w:pPr>
        <w:spacing w:after="120"/>
      </w:pPr>
      <w:r>
        <w:rPr>
          <w:b/>
        </w:rPr>
        <w:t xml:space="preserve">5.5.1. </w:t>
      </w:r>
      <w:r>
        <w:t>Konstrukcja nawierzchni</w:t>
      </w:r>
    </w:p>
    <w:p w:rsidR="008257AF" w:rsidRDefault="008257AF" w:rsidP="008257AF">
      <w:r>
        <w:tab/>
        <w:t xml:space="preserve">Jeśli konstrukcja nawierzchni nie została ustalona w dokumentacji projektowej lub ST to należy przyjąć </w:t>
      </w:r>
      <w:r w:rsidR="007C5372">
        <w:t xml:space="preserve">rozwiązania </w:t>
      </w:r>
      <w:r>
        <w:t>według załącznika 2</w:t>
      </w:r>
      <w:r w:rsidR="006837AC">
        <w:t>,</w:t>
      </w:r>
      <w:r>
        <w:t xml:space="preserve"> podającego zalecane konstrukcje nawierzchni ścieżek rowerowych i chodników. </w:t>
      </w:r>
    </w:p>
    <w:p w:rsidR="008B3BF2" w:rsidRPr="008B3BF2" w:rsidRDefault="008257AF" w:rsidP="008B3BF2">
      <w:pPr>
        <w:ind w:firstLine="709"/>
      </w:pPr>
      <w:r w:rsidRPr="008B3BF2">
        <w:t xml:space="preserve">Przy ustaleniu konstrukcji nawierzchni infrastruktury pieszej i rowerowej należy uwzględnić dopuszczenie wjazdu na nią pojazdów utrzymania (sprzątanie i odśnieżanie mechaniczne, koszenie trawy itp.), postoju i ewentualnego ruchu pojazdów o przyjętej dopuszczalnej masie całkowitej </w:t>
      </w:r>
      <w:r w:rsidR="008B3BF2" w:rsidRPr="008B3BF2">
        <w:t xml:space="preserve">np. w obrębie zjazdów </w:t>
      </w:r>
      <w:r w:rsidRPr="008B3BF2">
        <w:t>- bez szkody dla jej trwałości [26].</w:t>
      </w:r>
      <w:r w:rsidR="008B3BF2" w:rsidRPr="008B3BF2">
        <w:t xml:space="preserve"> Należy przyjąć rozwiązania zabezpieczające przed negatywnym oddziaływaniem rozrastających się korzeni drzew (osłony korzeniowe, grubsze warstwy podbudowy).</w:t>
      </w:r>
    </w:p>
    <w:p w:rsidR="008257AF" w:rsidRDefault="008257AF" w:rsidP="008257AF">
      <w:r>
        <w:tab/>
        <w:t>Konstrukcja nawierzchni może obejmować ułożenie:</w:t>
      </w:r>
    </w:p>
    <w:p w:rsidR="008257AF" w:rsidRDefault="008257AF" w:rsidP="008257AF">
      <w:pPr>
        <w:numPr>
          <w:ilvl w:val="0"/>
          <w:numId w:val="28"/>
        </w:numPr>
        <w:tabs>
          <w:tab w:val="clear" w:pos="3637"/>
          <w:tab w:val="num" w:pos="284"/>
        </w:tabs>
        <w:ind w:left="284" w:hanging="284"/>
      </w:pPr>
      <w:r>
        <w:lastRenderedPageBreak/>
        <w:t>warstwy ścieralnej z odmienną kolorystyką dla pasa dla rowerów rowerowej (najczęściej czerwonego) oraz pasa dla pieszych,</w:t>
      </w:r>
    </w:p>
    <w:p w:rsidR="008257AF" w:rsidRDefault="008257AF" w:rsidP="008257AF">
      <w:pPr>
        <w:numPr>
          <w:ilvl w:val="0"/>
          <w:numId w:val="28"/>
        </w:numPr>
        <w:tabs>
          <w:tab w:val="clear" w:pos="3637"/>
          <w:tab w:val="num" w:pos="284"/>
        </w:tabs>
        <w:ind w:left="284" w:hanging="284"/>
      </w:pPr>
      <w:r>
        <w:t>podsypki (w przypadku warstwy ścieralnej z płyt chodnikowych, betonowej kostki brukowej itp.),</w:t>
      </w:r>
    </w:p>
    <w:p w:rsidR="008257AF" w:rsidRDefault="008257AF" w:rsidP="008257AF">
      <w:pPr>
        <w:numPr>
          <w:ilvl w:val="0"/>
          <w:numId w:val="28"/>
        </w:numPr>
        <w:tabs>
          <w:tab w:val="clear" w:pos="3637"/>
          <w:tab w:val="num" w:pos="284"/>
        </w:tabs>
        <w:ind w:left="284" w:hanging="284"/>
      </w:pPr>
      <w:r>
        <w:t>podbudowy.</w:t>
      </w:r>
    </w:p>
    <w:p w:rsidR="008257AF" w:rsidRDefault="008257AF" w:rsidP="008257AF">
      <w:pPr>
        <w:ind w:firstLine="709"/>
      </w:pPr>
      <w:r>
        <w:t>Czynności wykonywane przy budowie wybranego rodzaju nawierzchni powinny odpo</w:t>
      </w:r>
      <w:r w:rsidR="00D36852">
        <w:t xml:space="preserve">wiadać wymaganiom odpowiednich </w:t>
      </w:r>
      <w:r>
        <w:t>ST.</w:t>
      </w:r>
    </w:p>
    <w:p w:rsidR="008257AF" w:rsidRDefault="008257AF" w:rsidP="008257AF">
      <w:pPr>
        <w:spacing w:before="120" w:after="120"/>
      </w:pPr>
      <w:r>
        <w:rPr>
          <w:b/>
        </w:rPr>
        <w:t xml:space="preserve">5.5.2. </w:t>
      </w:r>
      <w:r>
        <w:t>Podłoże i koryto</w:t>
      </w:r>
    </w:p>
    <w:p w:rsidR="008257AF" w:rsidRDefault="008257AF" w:rsidP="00D36852">
      <w:r>
        <w:tab/>
        <w:t>Podłoże powinno być zabezpieczone przed nadmiernym zawilgoceniem i ujemnymi skutkami przemarzania.</w:t>
      </w:r>
      <w:r w:rsidR="00D36852">
        <w:t xml:space="preserve"> </w:t>
      </w:r>
      <w:r>
        <w:t>Koryto pod podbudowę lub nawierzchnię powinno być wyprofilowane zgodnie z projektowanymi spadkami oraz przy</w:t>
      </w:r>
      <w:r w:rsidR="00D36852">
        <w:t xml:space="preserve">gotowane zgodnie z wymaganiami </w:t>
      </w:r>
      <w:r>
        <w:t>ST D-04.01.01 [4].</w:t>
      </w:r>
    </w:p>
    <w:p w:rsidR="008257AF" w:rsidRDefault="008257AF" w:rsidP="008257AF">
      <w:r>
        <w:tab/>
        <w:t xml:space="preserve">W przypadku gruntów </w:t>
      </w:r>
      <w:proofErr w:type="spellStart"/>
      <w:r>
        <w:t>wysadzinowych</w:t>
      </w:r>
      <w:proofErr w:type="spellEnd"/>
      <w:r>
        <w:t xml:space="preserve"> i wątpliwych oraz gdy dokumentacja projektowa lub ST to przewiduje należy wykonać ulepszenie podłoża.</w:t>
      </w:r>
    </w:p>
    <w:p w:rsidR="008257AF" w:rsidRDefault="008257AF" w:rsidP="008257AF">
      <w:pPr>
        <w:spacing w:before="120" w:after="120"/>
      </w:pPr>
      <w:r>
        <w:rPr>
          <w:b/>
        </w:rPr>
        <w:t xml:space="preserve">5.5.3. </w:t>
      </w:r>
      <w:r w:rsidRPr="00325AF4">
        <w:t>Ulepszenie</w:t>
      </w:r>
      <w:r>
        <w:t xml:space="preserve"> podłoż</w:t>
      </w:r>
      <w:r w:rsidRPr="00325AF4">
        <w:t>a i podbudowa</w:t>
      </w:r>
    </w:p>
    <w:p w:rsidR="008257AF" w:rsidRPr="00717A4D" w:rsidRDefault="008257AF" w:rsidP="008257AF">
      <w:r>
        <w:tab/>
        <w:t>Rodzaj podbudowy przewidzianej do wykonania pod warstwą nawierzchni powinien być zgodny z dokumentacją projektową.</w:t>
      </w:r>
    </w:p>
    <w:p w:rsidR="008257AF" w:rsidRDefault="008257AF" w:rsidP="008257AF">
      <w:pPr>
        <w:ind w:left="709"/>
      </w:pPr>
      <w:r>
        <w:t>Wykonanie podbudowy powinno o</w:t>
      </w:r>
      <w:r w:rsidR="00D36852">
        <w:t xml:space="preserve">dpowiadać wymaganiom właściwej </w:t>
      </w:r>
      <w:r>
        <w:t>ST.</w:t>
      </w:r>
    </w:p>
    <w:p w:rsidR="008257AF" w:rsidRPr="008B3BF2" w:rsidRDefault="008257AF" w:rsidP="008257AF">
      <w:r>
        <w:tab/>
        <w:t xml:space="preserve">Jeżeli dokumentacja projektowa lub ST przewiduje ulepszenie podłoża poprzez wymianę gruntów, to wykonanie robót powinno spełniać wymagania </w:t>
      </w:r>
      <w:r w:rsidRPr="008B3BF2">
        <w:t>ST D-04.04.00a Podłoże ulepszone z mieszanki kruszywa niezwiązanego [5].</w:t>
      </w:r>
    </w:p>
    <w:p w:rsidR="008257AF" w:rsidRDefault="008257AF" w:rsidP="008257AF">
      <w:r>
        <w:tab/>
        <w:t>Jeżeli dokumentacja projektowa lub ST przewiduje podbudowę z mieszanki kruszywa stabilizowanego mechanicznie to wykonanie podbudowy</w:t>
      </w:r>
      <w:r w:rsidR="00D36852">
        <w:t xml:space="preserve"> powinno odpowiadać wymaganiom </w:t>
      </w:r>
      <w:r>
        <w:t xml:space="preserve">ST </w:t>
      </w:r>
      <w:r w:rsidRPr="000556A9">
        <w:t>D-04.04.02b Podbudowa zasadnicza z miesz</w:t>
      </w:r>
      <w:r>
        <w:t>anki kruszywa niezwiązanego [6].</w:t>
      </w:r>
    </w:p>
    <w:p w:rsidR="008257AF" w:rsidRDefault="008257AF" w:rsidP="008257AF">
      <w:pPr>
        <w:ind w:firstLine="709"/>
      </w:pPr>
      <w:r>
        <w:t>Jeżeli dokumentacja projektowa lub ST przewiduje ulepszenie podłoża lub podbudowę z mieszanki kruszywa związanego spoiwami hydraulicznymi to wykonanie robót powinno spełniać wy</w:t>
      </w:r>
      <w:r w:rsidR="00D36852">
        <w:t xml:space="preserve">magania jednej z następujących </w:t>
      </w:r>
      <w:r>
        <w:t xml:space="preserve">ST: </w:t>
      </w:r>
    </w:p>
    <w:p w:rsidR="008257AF" w:rsidRPr="008B3BF2" w:rsidRDefault="008257AF" w:rsidP="008257AF">
      <w:pPr>
        <w:numPr>
          <w:ilvl w:val="0"/>
          <w:numId w:val="32"/>
        </w:numPr>
        <w:ind w:left="426"/>
      </w:pPr>
      <w:r w:rsidRPr="008B3BF2">
        <w:t>D-04.05.01a Podbudowa i podłoże ulepszone z mieszanki kruszywa związanego hydraulicznie cementem [7],</w:t>
      </w:r>
    </w:p>
    <w:p w:rsidR="008257AF" w:rsidRPr="008B3BF2" w:rsidRDefault="008257AF" w:rsidP="008257AF">
      <w:pPr>
        <w:numPr>
          <w:ilvl w:val="0"/>
          <w:numId w:val="32"/>
        </w:numPr>
        <w:ind w:left="426"/>
      </w:pPr>
      <w:r w:rsidRPr="008B3BF2">
        <w:t>D-04.05.03a Podbudowa i podłoże ulepszone z mieszanki kruszywa związanego hydraulicznie popiołem lotnym [8],</w:t>
      </w:r>
    </w:p>
    <w:p w:rsidR="008257AF" w:rsidRPr="008B3BF2" w:rsidRDefault="008257AF" w:rsidP="008257AF">
      <w:pPr>
        <w:numPr>
          <w:ilvl w:val="0"/>
          <w:numId w:val="32"/>
        </w:numPr>
        <w:ind w:left="426"/>
      </w:pPr>
      <w:r w:rsidRPr="008B3BF2">
        <w:t>D-04.05.04a Podbudowa i podłoże ulepszone z mieszanki kruszywa związanego hydraulicznie granulowanym żużlem wielkopiecowym [9],</w:t>
      </w:r>
    </w:p>
    <w:p w:rsidR="008257AF" w:rsidRPr="008B3BF2" w:rsidRDefault="008257AF" w:rsidP="008257AF">
      <w:pPr>
        <w:numPr>
          <w:ilvl w:val="0"/>
          <w:numId w:val="32"/>
        </w:numPr>
        <w:ind w:left="426"/>
      </w:pPr>
      <w:r w:rsidRPr="008B3BF2">
        <w:t>D-04.05.05a Podbudowa i podłoże ulepszone z mieszanki kruszywa związanego gotowym wyrobem hydraulicznego spoiwa drogowego [10].</w:t>
      </w:r>
    </w:p>
    <w:p w:rsidR="008257AF" w:rsidRDefault="008257AF" w:rsidP="008257AF">
      <w:pPr>
        <w:ind w:firstLine="709"/>
      </w:pPr>
      <w:r>
        <w:t>Jeżeli dokumentacja projektowa lub ST przewiduje podbudowę gruntową stabilizowaną dodatkami trwale zwiększającymi odporność na absorpcję kapilarną wody to wykonanie podbudowy</w:t>
      </w:r>
      <w:r w:rsidR="00D36852">
        <w:t xml:space="preserve"> powinno odpowiadać wymaganiom </w:t>
      </w:r>
      <w:r>
        <w:t>ST D-04.12.01 [11].</w:t>
      </w:r>
    </w:p>
    <w:p w:rsidR="008257AF" w:rsidRDefault="008257AF" w:rsidP="008257AF">
      <w:pPr>
        <w:ind w:firstLine="709"/>
      </w:pPr>
      <w:r>
        <w:t>Ewentualne inne rodzaje podbudów powinny odpowiadać wymaganiom norm, wytycznych lub indywidualnie opracowanym ST zaakceptowanym przez Inżyniera.</w:t>
      </w:r>
    </w:p>
    <w:p w:rsidR="008257AF" w:rsidRDefault="008257AF" w:rsidP="006837AC">
      <w:pPr>
        <w:spacing w:before="120" w:after="120"/>
      </w:pPr>
      <w:r>
        <w:rPr>
          <w:b/>
        </w:rPr>
        <w:t xml:space="preserve">5.5.4. </w:t>
      </w:r>
      <w:r>
        <w:t>Obramowanie nawierzchni</w:t>
      </w:r>
    </w:p>
    <w:p w:rsidR="008257AF" w:rsidRDefault="008257AF" w:rsidP="008257AF">
      <w:r>
        <w:tab/>
        <w:t>Rodzaj obramowania nawierzchni powinien być zgodny z dokumentacją projektową lub ST.</w:t>
      </w:r>
    </w:p>
    <w:p w:rsidR="008257AF" w:rsidRDefault="008257AF" w:rsidP="008257AF">
      <w:r>
        <w:tab/>
        <w:t xml:space="preserve">Ustawianie krawężników i obrzeży i ewentualne wykonanie ścieków </w:t>
      </w:r>
      <w:proofErr w:type="spellStart"/>
      <w:r>
        <w:t>przykrawężnikowych</w:t>
      </w:r>
      <w:proofErr w:type="spellEnd"/>
      <w:r>
        <w:t xml:space="preserve"> powinno być zg</w:t>
      </w:r>
      <w:r w:rsidR="00D36852">
        <w:t xml:space="preserve">odne z wymaganiami zawartymi w </w:t>
      </w:r>
      <w:r>
        <w:t>ST:</w:t>
      </w:r>
    </w:p>
    <w:p w:rsidR="008257AF" w:rsidRPr="008B3BF2" w:rsidRDefault="008257AF" w:rsidP="008257AF">
      <w:pPr>
        <w:numPr>
          <w:ilvl w:val="0"/>
          <w:numId w:val="29"/>
        </w:numPr>
        <w:tabs>
          <w:tab w:val="clear" w:pos="1440"/>
          <w:tab w:val="num" w:pos="284"/>
        </w:tabs>
        <w:ind w:left="284" w:hanging="284"/>
      </w:pPr>
      <w:r w:rsidRPr="008B3BF2">
        <w:t>D-08.01.01b Ustawianie krawężników betonowych [19],</w:t>
      </w:r>
    </w:p>
    <w:p w:rsidR="008257AF" w:rsidRPr="008B3BF2" w:rsidRDefault="008257AF" w:rsidP="008257AF">
      <w:pPr>
        <w:numPr>
          <w:ilvl w:val="0"/>
          <w:numId w:val="29"/>
        </w:numPr>
        <w:tabs>
          <w:tab w:val="clear" w:pos="1440"/>
          <w:tab w:val="num" w:pos="284"/>
        </w:tabs>
        <w:ind w:left="284" w:hanging="284"/>
      </w:pPr>
      <w:r w:rsidRPr="008B3BF2">
        <w:t>D-08.01.02a Ustawianie krawężników kamiennych [20],</w:t>
      </w:r>
    </w:p>
    <w:p w:rsidR="008257AF" w:rsidRPr="008B3BF2" w:rsidRDefault="008257AF" w:rsidP="008257AF">
      <w:pPr>
        <w:numPr>
          <w:ilvl w:val="0"/>
          <w:numId w:val="29"/>
        </w:numPr>
        <w:tabs>
          <w:tab w:val="clear" w:pos="1440"/>
          <w:tab w:val="num" w:pos="284"/>
        </w:tabs>
        <w:ind w:left="284" w:hanging="284"/>
      </w:pPr>
      <w:r w:rsidRPr="008B3BF2">
        <w:t>D-08.05.06a Ściek uliczny z betonowej kostki brukowej [22].</w:t>
      </w:r>
    </w:p>
    <w:p w:rsidR="008257AF" w:rsidRDefault="008257AF" w:rsidP="008257AF">
      <w:pPr>
        <w:spacing w:before="120" w:after="120"/>
      </w:pPr>
      <w:r>
        <w:rPr>
          <w:b/>
        </w:rPr>
        <w:lastRenderedPageBreak/>
        <w:t xml:space="preserve">5.5.5. </w:t>
      </w:r>
      <w:r>
        <w:t>Podsypka</w:t>
      </w:r>
    </w:p>
    <w:p w:rsidR="008257AF" w:rsidRDefault="008257AF" w:rsidP="00D36852">
      <w:r>
        <w:tab/>
        <w:t>Podsypkę stosuje się w przypadku nawierzchni z betonowej lub kamiennej kostki brukowej oraz płyt chodnikowych.</w:t>
      </w:r>
      <w:r w:rsidR="00D36852">
        <w:t xml:space="preserve"> </w:t>
      </w:r>
      <w:r>
        <w:t>Rodzaj podsypki i jej grubość powinny być zgodne z dokumentacją projektową lub ST.</w:t>
      </w:r>
      <w:r w:rsidR="006837AC">
        <w:t xml:space="preserve"> </w:t>
      </w:r>
    </w:p>
    <w:p w:rsidR="008257AF" w:rsidRDefault="008257AF" w:rsidP="008257AF">
      <w:r>
        <w:tab/>
        <w:t xml:space="preserve">Jeśli dokumentacja projektowa lub ST nie ustala inaczej, to grubość podsypki po zagęszczeniu powinna wynosić 3÷5 </w:t>
      </w:r>
      <w:proofErr w:type="spellStart"/>
      <w:r>
        <w:t>cm</w:t>
      </w:r>
      <w:proofErr w:type="spellEnd"/>
      <w:r>
        <w:t xml:space="preserve">. Dopuszczalna odchyłka od zaprojektowanej grubości podsypki nie powinna przekraczać ± </w:t>
      </w:r>
      <w:smartTag w:uri="urn:schemas-microsoft-com:office:smarttags" w:element="metricconverter">
        <w:smartTagPr>
          <w:attr w:name="ProductID" w:val="1 cm"/>
        </w:smartTagPr>
        <w:r>
          <w:t xml:space="preserve">1 </w:t>
        </w:r>
        <w:proofErr w:type="spellStart"/>
        <w:r>
          <w:t>cm</w:t>
        </w:r>
      </w:smartTag>
      <w:proofErr w:type="spellEnd"/>
      <w:r>
        <w:t>.</w:t>
      </w:r>
    </w:p>
    <w:p w:rsidR="008257AF" w:rsidRDefault="008257AF" w:rsidP="008257AF">
      <w:r>
        <w:tab/>
        <w:t>Pod nawierzchnią mogą występować:</w:t>
      </w:r>
    </w:p>
    <w:p w:rsidR="008257AF" w:rsidRDefault="008257AF" w:rsidP="008257AF">
      <w:pPr>
        <w:numPr>
          <w:ilvl w:val="0"/>
          <w:numId w:val="30"/>
        </w:numPr>
        <w:tabs>
          <w:tab w:val="clear" w:pos="1440"/>
          <w:tab w:val="num" w:pos="284"/>
        </w:tabs>
        <w:ind w:left="284" w:hanging="284"/>
      </w:pPr>
      <w:r>
        <w:t>podsypka piaskowa,</w:t>
      </w:r>
    </w:p>
    <w:p w:rsidR="008257AF" w:rsidRDefault="008257AF" w:rsidP="008257AF">
      <w:pPr>
        <w:numPr>
          <w:ilvl w:val="0"/>
          <w:numId w:val="30"/>
        </w:numPr>
        <w:tabs>
          <w:tab w:val="clear" w:pos="1440"/>
          <w:tab w:val="num" w:pos="284"/>
        </w:tabs>
        <w:ind w:left="284" w:hanging="284"/>
      </w:pPr>
      <w:r>
        <w:t>podsypka cementowo-piaskowa 1:4.</w:t>
      </w:r>
    </w:p>
    <w:p w:rsidR="008257AF" w:rsidRDefault="008257AF" w:rsidP="008257AF">
      <w:pPr>
        <w:spacing w:before="120" w:after="120"/>
      </w:pPr>
      <w:r>
        <w:rPr>
          <w:b/>
        </w:rPr>
        <w:t xml:space="preserve">5.5.6. </w:t>
      </w:r>
      <w:r>
        <w:t>Warstwa ścieralna nawierzchni</w:t>
      </w:r>
    </w:p>
    <w:p w:rsidR="008257AF" w:rsidRDefault="008257AF" w:rsidP="008257AF">
      <w:r>
        <w:tab/>
        <w:t>Rodzaj nawierzchni powinien być zgodny z dokumentacją projektową lub ST.</w:t>
      </w:r>
    </w:p>
    <w:p w:rsidR="008257AF" w:rsidRDefault="008257AF" w:rsidP="008257AF">
      <w:r>
        <w:tab/>
        <w:t>Wykonanie nawierzchni powinno o</w:t>
      </w:r>
      <w:r w:rsidR="00D36852">
        <w:t xml:space="preserve">dpowiadać wymaganiom właściwej </w:t>
      </w:r>
      <w:r>
        <w:t>ST, np.:</w:t>
      </w:r>
    </w:p>
    <w:p w:rsidR="008257AF" w:rsidRPr="008B3BF2" w:rsidRDefault="008257AF" w:rsidP="008257AF">
      <w:pPr>
        <w:numPr>
          <w:ilvl w:val="0"/>
          <w:numId w:val="31"/>
        </w:numPr>
        <w:tabs>
          <w:tab w:val="clear" w:pos="1440"/>
          <w:tab w:val="num" w:pos="284"/>
        </w:tabs>
        <w:ind w:left="284" w:hanging="284"/>
      </w:pPr>
      <w:r w:rsidRPr="008B3BF2">
        <w:t>D-05.03.05a Nawierzchnia z betonu asfaltowego. Warstwa ścieralna wg WT-1 i WT-2 [13],</w:t>
      </w:r>
    </w:p>
    <w:p w:rsidR="008257AF" w:rsidRPr="008B3BF2" w:rsidRDefault="008257AF" w:rsidP="008257AF">
      <w:pPr>
        <w:numPr>
          <w:ilvl w:val="0"/>
          <w:numId w:val="31"/>
        </w:numPr>
        <w:tabs>
          <w:tab w:val="clear" w:pos="1440"/>
          <w:tab w:val="num" w:pos="284"/>
        </w:tabs>
        <w:ind w:left="284" w:hanging="284"/>
      </w:pPr>
      <w:r w:rsidRPr="008B3BF2">
        <w:t>D-05.03.07a Nawierzchnia z asfaltu lanego wg WT-1 i WT-2 [14],</w:t>
      </w:r>
    </w:p>
    <w:p w:rsidR="008257AF" w:rsidRPr="008B3BF2" w:rsidRDefault="008257AF" w:rsidP="008257AF">
      <w:pPr>
        <w:numPr>
          <w:ilvl w:val="0"/>
          <w:numId w:val="31"/>
        </w:numPr>
        <w:tabs>
          <w:tab w:val="clear" w:pos="1440"/>
          <w:tab w:val="num" w:pos="284"/>
        </w:tabs>
        <w:ind w:left="284" w:hanging="284"/>
      </w:pPr>
      <w:r w:rsidRPr="008B3BF2">
        <w:t>D-05.03.22   Nawierzchnia z asfaltu piaskowego [15],</w:t>
      </w:r>
    </w:p>
    <w:p w:rsidR="008257AF" w:rsidRPr="008B3BF2" w:rsidRDefault="008257AF" w:rsidP="008257AF">
      <w:pPr>
        <w:numPr>
          <w:ilvl w:val="0"/>
          <w:numId w:val="31"/>
        </w:numPr>
        <w:tabs>
          <w:tab w:val="clear" w:pos="1440"/>
          <w:tab w:val="num" w:pos="284"/>
        </w:tabs>
        <w:ind w:left="284" w:hanging="284"/>
      </w:pPr>
      <w:r w:rsidRPr="008B3BF2">
        <w:t>D-05.03.23a Nawierzchnia z betonowej kostki brukowej dla dróg, ulic oraz placów i chodników [16], przy czym nawierzchnię z kostki brukowej zaleca się stosować tylko w wyjątkowych sytuacjach, na niewielkich odległościach w miejscach, gdzie inne rozwiązania są trudne lub niemożliwe do zastosowania [27],</w:t>
      </w:r>
    </w:p>
    <w:p w:rsidR="008257AF" w:rsidRPr="008B3BF2" w:rsidRDefault="008257AF" w:rsidP="008257AF">
      <w:pPr>
        <w:numPr>
          <w:ilvl w:val="0"/>
          <w:numId w:val="31"/>
        </w:numPr>
        <w:tabs>
          <w:tab w:val="clear" w:pos="1440"/>
          <w:tab w:val="num" w:pos="284"/>
        </w:tabs>
        <w:ind w:left="284" w:hanging="284"/>
      </w:pPr>
      <w:r w:rsidRPr="008B3BF2">
        <w:t>D-05.03.01   Nawierzchnia z kostki kamiennej</w:t>
      </w:r>
      <w:r w:rsidR="006837AC" w:rsidRPr="008B3BF2">
        <w:t>,</w:t>
      </w:r>
      <w:r w:rsidRPr="008B3BF2">
        <w:t xml:space="preserve"> przy czym nawierzchnię z kostki kamiennej [12] zaleca się stosować tylko w wyjątkowych sytuacjach, na niewielkich odległościach w miejscach, gdzie inne rozwiązania są trudne lub niemożliwe do zastosowania [27],</w:t>
      </w:r>
    </w:p>
    <w:p w:rsidR="008257AF" w:rsidRPr="008B3BF2" w:rsidRDefault="008257AF" w:rsidP="008257AF">
      <w:pPr>
        <w:numPr>
          <w:ilvl w:val="0"/>
          <w:numId w:val="31"/>
        </w:numPr>
        <w:tabs>
          <w:tab w:val="clear" w:pos="1440"/>
          <w:tab w:val="num" w:pos="284"/>
        </w:tabs>
        <w:ind w:left="284" w:hanging="284"/>
      </w:pPr>
      <w:r w:rsidRPr="008B3BF2">
        <w:t>D-08.02.01a Chodnik z betonowych płyt brukowych [21],</w:t>
      </w:r>
    </w:p>
    <w:p w:rsidR="008257AF" w:rsidRPr="008B3BF2" w:rsidRDefault="008257AF" w:rsidP="008257AF">
      <w:pPr>
        <w:numPr>
          <w:ilvl w:val="0"/>
          <w:numId w:val="31"/>
        </w:numPr>
        <w:tabs>
          <w:tab w:val="clear" w:pos="1440"/>
          <w:tab w:val="num" w:pos="284"/>
        </w:tabs>
        <w:ind w:left="284" w:hanging="284"/>
      </w:pPr>
      <w:r w:rsidRPr="008B3BF2">
        <w:t>D-10.03.01c Tymczasowa nawierzchnia z prefabrykowanych betonowych płyt wielkowymiarowych [23].</w:t>
      </w:r>
    </w:p>
    <w:p w:rsidR="008257AF" w:rsidRDefault="008257AF" w:rsidP="008257AF">
      <w:pPr>
        <w:ind w:firstLine="709"/>
      </w:pPr>
      <w:r>
        <w:t>Ewentualne inne rodzaje nawierzchni powinny odpowiadać wymaganiom norm, wytycznych lub indywidualnie opracowanym ST zaakceptowanym przez Inżyniera.</w:t>
      </w:r>
    </w:p>
    <w:p w:rsidR="008257AF" w:rsidRDefault="008257AF" w:rsidP="008257AF">
      <w:pPr>
        <w:spacing w:before="120" w:after="120"/>
      </w:pPr>
      <w:r>
        <w:rPr>
          <w:b/>
        </w:rPr>
        <w:t xml:space="preserve">5.5.7. </w:t>
      </w:r>
      <w:r>
        <w:t>Pielęgnacja nawierzchni</w:t>
      </w:r>
    </w:p>
    <w:p w:rsidR="008257AF" w:rsidRDefault="008257AF" w:rsidP="008257AF">
      <w:r>
        <w:tab/>
        <w:t>Ewentualna pielęgnacja nawierzchni przed oddaniem jej do ruchu po</w:t>
      </w:r>
      <w:r w:rsidR="00D36852">
        <w:t xml:space="preserve">winna być zgodna z odpowiednią </w:t>
      </w:r>
      <w:r>
        <w:t>ST.</w:t>
      </w:r>
    </w:p>
    <w:p w:rsidR="008257AF" w:rsidRDefault="008257AF" w:rsidP="008257AF">
      <w:pPr>
        <w:pStyle w:val="Nagwek2"/>
      </w:pPr>
      <w:r>
        <w:t>5.6. Oznakowanie</w:t>
      </w:r>
    </w:p>
    <w:p w:rsidR="008257AF" w:rsidRDefault="008257AF" w:rsidP="008257AF">
      <w:r w:rsidRPr="008B3BF2">
        <w:tab/>
        <w:t>Oznakowanie</w:t>
      </w:r>
      <w:r w:rsidR="00D36852">
        <w:t xml:space="preserve"> poziome należy wykonać według </w:t>
      </w:r>
      <w:r w:rsidRPr="008B3BF2">
        <w:t>ST D-07.01.01 [17]</w:t>
      </w:r>
      <w:r w:rsidR="00D36852">
        <w:t xml:space="preserve">, a oznakowanie pionowe według </w:t>
      </w:r>
      <w:r w:rsidRPr="008B3BF2">
        <w:t>ST D-07.02.01 [18].  Zasady oznakowania określono w</w:t>
      </w:r>
      <w:r>
        <w:rPr>
          <w:color w:val="FF0000"/>
        </w:rPr>
        <w:t xml:space="preserve"> </w:t>
      </w:r>
      <w:r>
        <w:t>Rozporządzeniu Ministra Infrastruktury w sprawie szczegółowych warunków technicznych dla znaków i sygnałów drogowych oraz urządzeń bezpieczeństwa ruchu drogowego i warunków ich umieszczenia na drogach [25]. Wyciąg z Rozporządzenia  [25] zamieszczono w załączniku 3.</w:t>
      </w:r>
    </w:p>
    <w:p w:rsidR="00B822B6" w:rsidRPr="008B3355" w:rsidRDefault="00B822B6" w:rsidP="00B822B6">
      <w:pPr>
        <w:rPr>
          <w:color w:val="FF0000"/>
        </w:rPr>
      </w:pPr>
      <w:r>
        <w:tab/>
        <w:t xml:space="preserve">Na drogach dla rowerów, drogach dla rowerów i pieszych oraz drogach dla pieszych – w przypadku znaków przeznaczonych wyłącznie dla kierujących rowerem i pieszych – stosuje się znaki wielkości mini tj. ostrzegawcze o długości boku 600 mm, zakazu i nakazu o średnicy 400 mm i informacyjnych o długości podstawy 400 </w:t>
      </w:r>
      <w:proofErr w:type="spellStart"/>
      <w:r>
        <w:t>mm</w:t>
      </w:r>
      <w:proofErr w:type="spellEnd"/>
      <w:r>
        <w:t>.</w:t>
      </w:r>
    </w:p>
    <w:p w:rsidR="00B822B6" w:rsidRPr="008B3BF2" w:rsidRDefault="00B822B6" w:rsidP="00B822B6">
      <w:pPr>
        <w:ind w:firstLine="709"/>
      </w:pPr>
      <w:r w:rsidRPr="008B3BF2">
        <w:t xml:space="preserve">Dopuszcza się stosowanie na chodnikach, drogach dla rowerów oraz drogach dla rowerów i pieszych słupków U-12c </w:t>
      </w:r>
      <w:r w:rsidR="00D95482" w:rsidRPr="008B3BF2">
        <w:t>(zał. 3, rys. </w:t>
      </w:r>
      <w:r w:rsidR="009A1D84" w:rsidRPr="008B3BF2">
        <w:t>e</w:t>
      </w:r>
      <w:r w:rsidRPr="008B3BF2">
        <w:t>) dla zabezpieczenia przez wjazdem pojazdów  samochodowych, przy czym na dwukierunkowych drogach dla rowerów oraz drogach dla rowerów i pieszych jeden słupek powinien być zlokalizowany w osi drogi / ciągu, a sąsiednie w odległości 1,5 m liczonej prostopadle do toru ruchu rowerzysty [2</w:t>
      </w:r>
      <w:r w:rsidR="009A1D84" w:rsidRPr="008B3BF2">
        <w:t>6</w:t>
      </w:r>
      <w:r w:rsidRPr="008B3BF2">
        <w:t>].</w:t>
      </w:r>
    </w:p>
    <w:p w:rsidR="00B822B6" w:rsidRPr="008B3BF2" w:rsidRDefault="00B822B6" w:rsidP="00B822B6">
      <w:r w:rsidRPr="008B3BF2">
        <w:lastRenderedPageBreak/>
        <w:tab/>
        <w:t>W szerokości  chodników i ścieżek rowerowych nie dopuszcza się lokalizowania słupów, wsporników znaków drogowych, barier, balustrad i żadnych innych przeszkód. Do szerokości tej nie wlicza się pasa technicznego o szerokości co najmniej 0,5 m od krawędzi jezdni [2</w:t>
      </w:r>
      <w:r w:rsidR="009A1D84" w:rsidRPr="008B3BF2">
        <w:t>6</w:t>
      </w:r>
      <w:r w:rsidRPr="008B3BF2">
        <w:t>].</w:t>
      </w:r>
    </w:p>
    <w:p w:rsidR="008257AF" w:rsidRDefault="008257AF" w:rsidP="008257AF">
      <w:pPr>
        <w:pStyle w:val="Nagwek2"/>
      </w:pPr>
      <w:r>
        <w:t>5.7. Roboty wykończeniowe</w:t>
      </w:r>
    </w:p>
    <w:p w:rsidR="008257AF" w:rsidRDefault="008257AF" w:rsidP="008257AF">
      <w:pPr>
        <w:ind w:firstLine="709"/>
      </w:pPr>
      <w:r>
        <w:t>Roboty wykończeniowe, zgodne z dokumentacją projektową, ST, dokumentacją wiaty i wskazaniami Inżyniera dotyczą prac związanych z dostosowaniem wykonanych  robót do istniejących warunków terenowych, takie jak:</w:t>
      </w:r>
    </w:p>
    <w:p w:rsidR="008257AF" w:rsidRDefault="008257AF" w:rsidP="008257AF">
      <w:pPr>
        <w:numPr>
          <w:ilvl w:val="0"/>
          <w:numId w:val="21"/>
        </w:numPr>
      </w:pPr>
      <w:r>
        <w:t>odtworzenie przeszkód czasowo usuniętych,</w:t>
      </w:r>
    </w:p>
    <w:p w:rsidR="008257AF" w:rsidRDefault="008257AF" w:rsidP="008257AF">
      <w:pPr>
        <w:numPr>
          <w:ilvl w:val="0"/>
          <w:numId w:val="21"/>
        </w:numPr>
      </w:pPr>
      <w:r>
        <w:t>uzupełnienie zniszczonych w czasie robót istniejących elementów drogowych lub terenowych,</w:t>
      </w:r>
    </w:p>
    <w:p w:rsidR="008257AF" w:rsidRDefault="008257AF" w:rsidP="008257AF">
      <w:pPr>
        <w:numPr>
          <w:ilvl w:val="0"/>
          <w:numId w:val="18"/>
        </w:numPr>
      </w:pPr>
      <w:r>
        <w:t>roboty porządkujące otoczenie terenu robót,</w:t>
      </w:r>
    </w:p>
    <w:p w:rsidR="008257AF" w:rsidRDefault="008257AF" w:rsidP="008257AF">
      <w:pPr>
        <w:numPr>
          <w:ilvl w:val="0"/>
          <w:numId w:val="18"/>
        </w:numPr>
      </w:pPr>
      <w:r>
        <w:t>usunięcie oznakowania drogi wprowadzonego na okres robót.</w:t>
      </w:r>
    </w:p>
    <w:p w:rsidR="00DE22B8" w:rsidRDefault="00DE22B8" w:rsidP="00DE22B8">
      <w:pPr>
        <w:pStyle w:val="Nagwek1"/>
      </w:pPr>
      <w:r>
        <w:t>6. Kontrola jakości robót</w:t>
      </w:r>
      <w:bookmarkEnd w:id="14"/>
    </w:p>
    <w:p w:rsidR="00BF32F7" w:rsidRDefault="00BF32F7" w:rsidP="00BF32F7">
      <w:pPr>
        <w:pStyle w:val="Nagwek2"/>
        <w:numPr>
          <w:ilvl w:val="12"/>
          <w:numId w:val="0"/>
        </w:numPr>
      </w:pPr>
      <w:bookmarkStart w:id="15" w:name="_Toc344981399"/>
      <w:r>
        <w:t>6.1. Ogólne zasady kontroli jakości robót</w:t>
      </w:r>
    </w:p>
    <w:p w:rsidR="00BF32F7" w:rsidRDefault="00BF32F7" w:rsidP="00BF32F7">
      <w:pPr>
        <w:numPr>
          <w:ilvl w:val="12"/>
          <w:numId w:val="0"/>
        </w:numPr>
      </w:pPr>
      <w:r>
        <w:tab/>
        <w:t>Ogólne zasady k</w:t>
      </w:r>
      <w:r w:rsidR="00D36852">
        <w:t xml:space="preserve">ontroli jakości robót podano w </w:t>
      </w:r>
      <w:r>
        <w:t xml:space="preserve">ST   D-M-00.00.00 „Wymagania ogólne” [1] </w:t>
      </w:r>
      <w:proofErr w:type="spellStart"/>
      <w:r>
        <w:t>pkt</w:t>
      </w:r>
      <w:proofErr w:type="spellEnd"/>
      <w:r>
        <w:t xml:space="preserve"> 6.</w:t>
      </w:r>
    </w:p>
    <w:p w:rsidR="008257AF" w:rsidRDefault="008257AF" w:rsidP="008257AF">
      <w:pPr>
        <w:pStyle w:val="Nagwek2"/>
        <w:numPr>
          <w:ilvl w:val="12"/>
          <w:numId w:val="0"/>
        </w:numPr>
      </w:pPr>
      <w:r>
        <w:t>6.2. Badania przed przystąpieniem do robót</w:t>
      </w:r>
    </w:p>
    <w:p w:rsidR="008257AF" w:rsidRPr="008B3BF2" w:rsidRDefault="008257AF" w:rsidP="0066105D">
      <w:pPr>
        <w:ind w:firstLine="709"/>
      </w:pPr>
      <w:r w:rsidRPr="008B3BF2">
        <w:t>Przed przystąpieniem do robót Wykonawca powinien:</w:t>
      </w:r>
    </w:p>
    <w:p w:rsidR="008257AF" w:rsidRPr="008B3BF2" w:rsidRDefault="008257AF" w:rsidP="008257AF">
      <w:pPr>
        <w:numPr>
          <w:ilvl w:val="0"/>
          <w:numId w:val="33"/>
        </w:numPr>
        <w:ind w:left="284" w:hanging="284"/>
      </w:pPr>
      <w:r w:rsidRPr="008B3BF2">
        <w:t>uzyskać wymagane dokumenty, dopuszczające wyroby budowlane do obrotu i powszechnego stosowania (np. stwierdzenie o oznakowaniu znakiem CE lub znakiem budowlanym B, aprobatę techniczną, certyfikat zgodności, deklarację zgodności, krajową ocenę techniczną, krajową deklarację właściwości użytkowych, ew. badania materiałów wykonane przez dostawców itp.),</w:t>
      </w:r>
    </w:p>
    <w:p w:rsidR="008257AF" w:rsidRPr="008B3BF2" w:rsidRDefault="008257AF" w:rsidP="008257AF">
      <w:pPr>
        <w:numPr>
          <w:ilvl w:val="0"/>
          <w:numId w:val="33"/>
        </w:numPr>
        <w:ind w:left="284" w:hanging="284"/>
      </w:pPr>
      <w:r w:rsidRPr="008B3BF2">
        <w:t>wykazać, że wyroby przewidziane do zastosowania spełniają wymagania ST,</w:t>
      </w:r>
    </w:p>
    <w:p w:rsidR="008257AF" w:rsidRPr="008B3BF2" w:rsidRDefault="008257AF" w:rsidP="008257AF">
      <w:pPr>
        <w:numPr>
          <w:ilvl w:val="0"/>
          <w:numId w:val="33"/>
        </w:numPr>
        <w:ind w:left="284" w:hanging="284"/>
      </w:pPr>
      <w:r w:rsidRPr="008B3BF2">
        <w:t>ew. wykonać własne badania właściwości materiałów przeznaczonych do wykonania robót, określone przez Inżyniera,</w:t>
      </w:r>
    </w:p>
    <w:p w:rsidR="008257AF" w:rsidRPr="008B3BF2" w:rsidRDefault="008257AF" w:rsidP="008257AF">
      <w:pPr>
        <w:numPr>
          <w:ilvl w:val="0"/>
          <w:numId w:val="33"/>
        </w:numPr>
        <w:ind w:left="284" w:hanging="284"/>
      </w:pPr>
      <w:r w:rsidRPr="008B3BF2">
        <w:t>sprawdzić cechy zewnętrzne gotowych materiałów z tworzyw i prefabrykowanych.</w:t>
      </w:r>
    </w:p>
    <w:p w:rsidR="008257AF" w:rsidRDefault="008257AF" w:rsidP="008257AF">
      <w:pPr>
        <w:numPr>
          <w:ilvl w:val="12"/>
          <w:numId w:val="0"/>
        </w:numPr>
      </w:pPr>
      <w:r>
        <w:tab/>
        <w:t>Wszystkie dokumenty oraz wyniki badań Wykonawca przedstawia Inżynierowi do akceptacji.</w:t>
      </w:r>
    </w:p>
    <w:p w:rsidR="008257AF" w:rsidRDefault="008257AF" w:rsidP="008257AF">
      <w:pPr>
        <w:pStyle w:val="Nagwek2"/>
        <w:numPr>
          <w:ilvl w:val="12"/>
          <w:numId w:val="0"/>
        </w:numPr>
      </w:pPr>
      <w:r>
        <w:t>6.3. Badania w czasie robót</w:t>
      </w:r>
    </w:p>
    <w:p w:rsidR="008257AF" w:rsidRDefault="008257AF" w:rsidP="008257AF">
      <w:pPr>
        <w:numPr>
          <w:ilvl w:val="12"/>
          <w:numId w:val="0"/>
        </w:numPr>
      </w:pPr>
      <w:r>
        <w:tab/>
        <w:t xml:space="preserve">Częstotliwość oraz zakres badań i pomiarów, które należy wykonać w czasie robót podaje tablica 1. </w:t>
      </w:r>
    </w:p>
    <w:p w:rsidR="008257AF" w:rsidRDefault="008257AF" w:rsidP="008257AF">
      <w:pPr>
        <w:numPr>
          <w:ilvl w:val="12"/>
          <w:numId w:val="0"/>
        </w:numPr>
        <w:spacing w:before="120" w:after="120"/>
      </w:pPr>
      <w:r>
        <w:t>Tablica 1. Częstotliwość oraz zakres badań i pomiarów w czasie robót</w:t>
      </w:r>
    </w:p>
    <w:tbl>
      <w:tblPr>
        <w:tblW w:w="883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4014"/>
        <w:gridCol w:w="1560"/>
        <w:gridCol w:w="2760"/>
      </w:tblGrid>
      <w:tr w:rsidR="008257AF">
        <w:tc>
          <w:tcPr>
            <w:tcW w:w="496" w:type="dxa"/>
            <w:tcBorders>
              <w:bottom w:val="single" w:sz="4" w:space="0" w:color="auto"/>
            </w:tcBorders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180" w:after="60"/>
              <w:jc w:val="center"/>
            </w:pPr>
            <w:r>
              <w:t>Lp.</w:t>
            </w:r>
          </w:p>
        </w:tc>
        <w:tc>
          <w:tcPr>
            <w:tcW w:w="4014" w:type="dxa"/>
            <w:tcBorders>
              <w:bottom w:val="single" w:sz="4" w:space="0" w:color="auto"/>
            </w:tcBorders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180" w:after="60"/>
              <w:jc w:val="center"/>
            </w:pPr>
            <w:r>
              <w:t>Wyszczególnienie robót</w:t>
            </w: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Częstotliwość badań</w:t>
            </w:r>
          </w:p>
        </w:tc>
        <w:tc>
          <w:tcPr>
            <w:tcW w:w="2760" w:type="dxa"/>
            <w:tcBorders>
              <w:bottom w:val="single" w:sz="4" w:space="0" w:color="auto"/>
            </w:tcBorders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180" w:after="60"/>
              <w:jc w:val="center"/>
            </w:pPr>
            <w:r>
              <w:t>Wartości dopuszczalne</w:t>
            </w:r>
          </w:p>
        </w:tc>
      </w:tr>
      <w:tr w:rsidR="008257AF">
        <w:tc>
          <w:tcPr>
            <w:tcW w:w="496" w:type="dxa"/>
            <w:tcBorders>
              <w:top w:val="single" w:sz="4" w:space="0" w:color="auto"/>
            </w:tcBorders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jc w:val="center"/>
            </w:pPr>
            <w:r>
              <w:t>1</w:t>
            </w:r>
          </w:p>
        </w:tc>
        <w:tc>
          <w:tcPr>
            <w:tcW w:w="4014" w:type="dxa"/>
            <w:tcBorders>
              <w:top w:val="single" w:sz="4" w:space="0" w:color="auto"/>
            </w:tcBorders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jc w:val="left"/>
            </w:pPr>
            <w:r>
              <w:t>Lokalizacja i zgodność granic terenu robót z dokumentacją projektową</w:t>
            </w:r>
          </w:p>
        </w:tc>
        <w:tc>
          <w:tcPr>
            <w:tcW w:w="1560" w:type="dxa"/>
            <w:tcBorders>
              <w:top w:val="single" w:sz="4" w:space="0" w:color="auto"/>
            </w:tcBorders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jc w:val="center"/>
            </w:pPr>
            <w:r>
              <w:t>1 raz</w:t>
            </w:r>
          </w:p>
        </w:tc>
        <w:tc>
          <w:tcPr>
            <w:tcW w:w="2760" w:type="dxa"/>
            <w:tcBorders>
              <w:top w:val="single" w:sz="4" w:space="0" w:color="auto"/>
            </w:tcBorders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 </w:t>
            </w:r>
          </w:p>
          <w:p w:rsidR="008257AF" w:rsidRDefault="008257AF" w:rsidP="0036416C">
            <w:pPr>
              <w:numPr>
                <w:ilvl w:val="12"/>
                <w:numId w:val="0"/>
              </w:numPr>
              <w:jc w:val="center"/>
            </w:pPr>
            <w:r>
              <w:t xml:space="preserve">i dokumentacji projektowej </w:t>
            </w:r>
          </w:p>
        </w:tc>
      </w:tr>
      <w:tr w:rsidR="008257AF">
        <w:tc>
          <w:tcPr>
            <w:tcW w:w="496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2</w:t>
            </w:r>
          </w:p>
        </w:tc>
        <w:tc>
          <w:tcPr>
            <w:tcW w:w="4014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left"/>
            </w:pPr>
            <w:r>
              <w:t xml:space="preserve">Roboty przygotowawcze </w:t>
            </w:r>
          </w:p>
        </w:tc>
        <w:tc>
          <w:tcPr>
            <w:tcW w:w="1560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Praca ciągła</w:t>
            </w:r>
          </w:p>
        </w:tc>
        <w:tc>
          <w:tcPr>
            <w:tcW w:w="2760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5.4</w:t>
            </w:r>
          </w:p>
        </w:tc>
      </w:tr>
      <w:tr w:rsidR="008257AF">
        <w:tc>
          <w:tcPr>
            <w:tcW w:w="496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3</w:t>
            </w:r>
          </w:p>
        </w:tc>
        <w:tc>
          <w:tcPr>
            <w:tcW w:w="4014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left"/>
            </w:pPr>
            <w:r>
              <w:t>Roboty nawierzchniowe</w:t>
            </w:r>
          </w:p>
        </w:tc>
        <w:tc>
          <w:tcPr>
            <w:tcW w:w="1560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Jw.</w:t>
            </w:r>
          </w:p>
        </w:tc>
        <w:tc>
          <w:tcPr>
            <w:tcW w:w="2760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5.5</w:t>
            </w:r>
          </w:p>
        </w:tc>
      </w:tr>
      <w:tr w:rsidR="008257AF">
        <w:tc>
          <w:tcPr>
            <w:tcW w:w="496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4</w:t>
            </w:r>
          </w:p>
        </w:tc>
        <w:tc>
          <w:tcPr>
            <w:tcW w:w="4014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left"/>
            </w:pPr>
            <w:r>
              <w:t>Obramowanie nawierzchni</w:t>
            </w:r>
          </w:p>
        </w:tc>
        <w:tc>
          <w:tcPr>
            <w:tcW w:w="1560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Jw.</w:t>
            </w:r>
          </w:p>
        </w:tc>
        <w:tc>
          <w:tcPr>
            <w:tcW w:w="2760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5.5.4</w:t>
            </w:r>
          </w:p>
        </w:tc>
      </w:tr>
      <w:tr w:rsidR="008257AF">
        <w:tc>
          <w:tcPr>
            <w:tcW w:w="496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5</w:t>
            </w:r>
          </w:p>
        </w:tc>
        <w:tc>
          <w:tcPr>
            <w:tcW w:w="4014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left"/>
            </w:pPr>
            <w:r>
              <w:t>Oznakowanie</w:t>
            </w:r>
          </w:p>
        </w:tc>
        <w:tc>
          <w:tcPr>
            <w:tcW w:w="1560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Jw.</w:t>
            </w:r>
          </w:p>
        </w:tc>
        <w:tc>
          <w:tcPr>
            <w:tcW w:w="2760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5.6</w:t>
            </w:r>
          </w:p>
        </w:tc>
      </w:tr>
      <w:tr w:rsidR="008257AF">
        <w:tc>
          <w:tcPr>
            <w:tcW w:w="496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6</w:t>
            </w:r>
          </w:p>
        </w:tc>
        <w:tc>
          <w:tcPr>
            <w:tcW w:w="4014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left"/>
            </w:pPr>
            <w:r>
              <w:t>Wykonanie robót wykończeniowych</w:t>
            </w:r>
          </w:p>
        </w:tc>
        <w:tc>
          <w:tcPr>
            <w:tcW w:w="1560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>Jw.</w:t>
            </w:r>
          </w:p>
        </w:tc>
        <w:tc>
          <w:tcPr>
            <w:tcW w:w="2760" w:type="dxa"/>
            <w:vAlign w:val="center"/>
          </w:tcPr>
          <w:p w:rsidR="008257AF" w:rsidRDefault="008257AF" w:rsidP="0036416C">
            <w:pPr>
              <w:numPr>
                <w:ilvl w:val="12"/>
                <w:numId w:val="0"/>
              </w:numPr>
              <w:spacing w:before="60" w:after="60"/>
              <w:jc w:val="center"/>
            </w:pPr>
            <w:r>
              <w:t xml:space="preserve">Wg </w:t>
            </w:r>
            <w:proofErr w:type="spellStart"/>
            <w:r>
              <w:t>pktu</w:t>
            </w:r>
            <w:proofErr w:type="spellEnd"/>
            <w:r>
              <w:t xml:space="preserve"> 5.7</w:t>
            </w:r>
          </w:p>
        </w:tc>
      </w:tr>
    </w:tbl>
    <w:p w:rsidR="00DE22B8" w:rsidRDefault="00DE22B8" w:rsidP="00DE22B8">
      <w:pPr>
        <w:pStyle w:val="Nagwek1"/>
      </w:pPr>
      <w:r>
        <w:lastRenderedPageBreak/>
        <w:t xml:space="preserve">7. </w:t>
      </w:r>
      <w:r w:rsidR="00BD1087">
        <w:t>Obmiar robót</w:t>
      </w:r>
      <w:bookmarkEnd w:id="15"/>
    </w:p>
    <w:p w:rsidR="00BF32F7" w:rsidRDefault="00BF32F7" w:rsidP="00BF32F7">
      <w:pPr>
        <w:pStyle w:val="Nagwek2"/>
        <w:numPr>
          <w:ilvl w:val="12"/>
          <w:numId w:val="0"/>
        </w:numPr>
      </w:pPr>
      <w:bookmarkStart w:id="16" w:name="_Toc344981400"/>
      <w:r>
        <w:t>7.1. Ogólne zasady obmiaru robót</w:t>
      </w:r>
    </w:p>
    <w:p w:rsidR="00BF32F7" w:rsidRDefault="00BF32F7" w:rsidP="00BF32F7">
      <w:pPr>
        <w:numPr>
          <w:ilvl w:val="12"/>
          <w:numId w:val="0"/>
        </w:numPr>
      </w:pPr>
      <w:r>
        <w:t>Ogólne</w:t>
      </w:r>
      <w:r w:rsidR="00D36852">
        <w:t xml:space="preserve"> zasady obmiaru robót podano w </w:t>
      </w:r>
      <w:r>
        <w:t xml:space="preserve">ST  D-M-00.00.00 „Wymagania ogólne” [1] </w:t>
      </w:r>
      <w:proofErr w:type="spellStart"/>
      <w:r>
        <w:t>pkt</w:t>
      </w:r>
      <w:proofErr w:type="spellEnd"/>
      <w:r>
        <w:t xml:space="preserve"> 7.</w:t>
      </w:r>
    </w:p>
    <w:p w:rsidR="00BF32F7" w:rsidRDefault="00BF32F7" w:rsidP="00BF32F7">
      <w:pPr>
        <w:pStyle w:val="Nagwek2"/>
        <w:numPr>
          <w:ilvl w:val="12"/>
          <w:numId w:val="0"/>
        </w:numPr>
      </w:pPr>
      <w:r>
        <w:t>7.2. Jednostka obmiarowa</w:t>
      </w:r>
    </w:p>
    <w:p w:rsidR="00BF32F7" w:rsidRPr="005D6D0E" w:rsidRDefault="00BF32F7" w:rsidP="00BF32F7">
      <w:r>
        <w:tab/>
      </w:r>
      <w:r w:rsidR="008257AF">
        <w:t>Jednostką obmiarową jest m</w:t>
      </w:r>
      <w:r w:rsidR="008257AF">
        <w:rPr>
          <w:vertAlign w:val="superscript"/>
        </w:rPr>
        <w:t>2</w:t>
      </w:r>
      <w:r w:rsidR="008257AF">
        <w:t xml:space="preserve"> (metr kwadratowy) wykonanego ciągu pieszo-rowerowego.</w:t>
      </w:r>
    </w:p>
    <w:p w:rsidR="00BD1087" w:rsidRDefault="00BD1087" w:rsidP="00BD1087">
      <w:pPr>
        <w:pStyle w:val="Nagwek1"/>
      </w:pPr>
      <w:r>
        <w:t>8. Odbiór robót</w:t>
      </w:r>
      <w:bookmarkEnd w:id="16"/>
    </w:p>
    <w:p w:rsidR="008C6EE1" w:rsidRDefault="008C6EE1" w:rsidP="008C6EE1">
      <w:pPr>
        <w:pStyle w:val="Nagwek2"/>
        <w:numPr>
          <w:ilvl w:val="12"/>
          <w:numId w:val="0"/>
        </w:numPr>
      </w:pPr>
      <w:bookmarkStart w:id="17" w:name="_Toc344981401"/>
      <w:r>
        <w:t>8.1. Ogólne zasady odbioru robót</w:t>
      </w:r>
    </w:p>
    <w:p w:rsidR="008C6EE1" w:rsidRDefault="008C6EE1" w:rsidP="008C6EE1">
      <w:pPr>
        <w:numPr>
          <w:ilvl w:val="12"/>
          <w:numId w:val="0"/>
        </w:numPr>
      </w:pPr>
      <w:r>
        <w:t>Ogólne</w:t>
      </w:r>
      <w:r w:rsidR="00D36852">
        <w:t xml:space="preserve"> zasady odbioru robót podano w </w:t>
      </w:r>
      <w:r>
        <w:t xml:space="preserve">ST  D-M-00.00.00 „Wymagania ogólne” [1] </w:t>
      </w:r>
      <w:proofErr w:type="spellStart"/>
      <w:r>
        <w:t>pkt</w:t>
      </w:r>
      <w:proofErr w:type="spellEnd"/>
      <w:r>
        <w:t xml:space="preserve"> 8.</w:t>
      </w:r>
    </w:p>
    <w:p w:rsidR="008C6EE1" w:rsidRDefault="008C6EE1" w:rsidP="008C6EE1">
      <w:pPr>
        <w:numPr>
          <w:ilvl w:val="12"/>
          <w:numId w:val="0"/>
        </w:numPr>
      </w:pPr>
      <w:r>
        <w:tab/>
        <w:t xml:space="preserve">Roboty uznaje się za wykonane zgodnie z dokumentacją projektową, ST                  i wymaganiami Inżyniera, jeżeli wszystkie pomiary i badania z zachowaniem tolerancji według </w:t>
      </w:r>
      <w:proofErr w:type="spellStart"/>
      <w:r>
        <w:t>pktu</w:t>
      </w:r>
      <w:proofErr w:type="spellEnd"/>
      <w:r>
        <w:t xml:space="preserve"> 6 dały wyniki pozytywne.</w:t>
      </w:r>
    </w:p>
    <w:p w:rsidR="008257AF" w:rsidRDefault="008257AF" w:rsidP="008257AF">
      <w:pPr>
        <w:pStyle w:val="Nagwek2"/>
      </w:pPr>
      <w:r>
        <w:t>8.2. Odbiór robót zanikających i ulegających zakryciu</w:t>
      </w:r>
    </w:p>
    <w:p w:rsidR="008257AF" w:rsidRDefault="008257AF" w:rsidP="008257AF">
      <w:r>
        <w:tab/>
        <w:t>Odbiorowi robót zanikających i ulegających zakryciu podlegają:</w:t>
      </w:r>
    </w:p>
    <w:p w:rsidR="008257AF" w:rsidRDefault="008257AF" w:rsidP="008257AF">
      <w:pPr>
        <w:numPr>
          <w:ilvl w:val="0"/>
          <w:numId w:val="21"/>
        </w:numPr>
      </w:pPr>
      <w:r>
        <w:t>przygotowanie podłoża,</w:t>
      </w:r>
    </w:p>
    <w:p w:rsidR="008257AF" w:rsidRDefault="008257AF" w:rsidP="008257AF">
      <w:pPr>
        <w:numPr>
          <w:ilvl w:val="0"/>
          <w:numId w:val="21"/>
        </w:numPr>
      </w:pPr>
      <w:r>
        <w:t>ewentualne wykonanie podbudowy,</w:t>
      </w:r>
    </w:p>
    <w:p w:rsidR="008257AF" w:rsidRDefault="008257AF" w:rsidP="008257AF">
      <w:pPr>
        <w:numPr>
          <w:ilvl w:val="0"/>
          <w:numId w:val="21"/>
        </w:numPr>
      </w:pPr>
      <w:r>
        <w:t>wykonanie ław,</w:t>
      </w:r>
    </w:p>
    <w:p w:rsidR="008257AF" w:rsidRDefault="008257AF" w:rsidP="008257AF">
      <w:pPr>
        <w:numPr>
          <w:ilvl w:val="0"/>
          <w:numId w:val="21"/>
        </w:numPr>
      </w:pPr>
      <w:r>
        <w:t>wykonanie szczelin dylatacyjnych.</w:t>
      </w:r>
    </w:p>
    <w:p w:rsidR="008257AF" w:rsidRPr="001402B2" w:rsidRDefault="008257AF" w:rsidP="008257AF">
      <w:pPr>
        <w:ind w:firstLine="709"/>
      </w:pPr>
      <w:r>
        <w:t xml:space="preserve">Odbiór tych robót powinien być zgodny z wymaganiami </w:t>
      </w:r>
      <w:proofErr w:type="spellStart"/>
      <w:r>
        <w:t>pktu</w:t>
      </w:r>
      <w:proofErr w:type="spellEnd"/>
      <w:r>
        <w:t xml:space="preserve"> 8.2 D-M-00.00.00 „Wymagan</w:t>
      </w:r>
      <w:r w:rsidR="00D36852">
        <w:t xml:space="preserve">ia ogólne” [1] oraz niniejszej </w:t>
      </w:r>
      <w:r>
        <w:t>ST.</w:t>
      </w:r>
    </w:p>
    <w:p w:rsidR="00BD1087" w:rsidRDefault="00BD1087" w:rsidP="00BD1087">
      <w:pPr>
        <w:pStyle w:val="Nagwek1"/>
      </w:pPr>
      <w:r>
        <w:t>9. Podstawa płatności</w:t>
      </w:r>
      <w:bookmarkEnd w:id="17"/>
    </w:p>
    <w:p w:rsidR="008C6EE1" w:rsidRDefault="008C6EE1" w:rsidP="008C6EE1">
      <w:pPr>
        <w:pStyle w:val="Nagwek2"/>
        <w:numPr>
          <w:ilvl w:val="12"/>
          <w:numId w:val="0"/>
        </w:numPr>
      </w:pPr>
      <w:bookmarkStart w:id="18" w:name="_Toc344981402"/>
      <w:r>
        <w:t>9.1. Ogólne ustalenia dotyczące podstawy płatności</w:t>
      </w:r>
    </w:p>
    <w:p w:rsidR="008C6EE1" w:rsidRDefault="008C6EE1" w:rsidP="008C6EE1">
      <w:pPr>
        <w:numPr>
          <w:ilvl w:val="12"/>
          <w:numId w:val="0"/>
        </w:numPr>
      </w:pPr>
      <w:r>
        <w:tab/>
        <w:t>Ogólne ustalenia dotyczą</w:t>
      </w:r>
      <w:r w:rsidR="00D36852">
        <w:t xml:space="preserve">ce podstawy płatności podano w </w:t>
      </w:r>
      <w:r>
        <w:t xml:space="preserve">ST D-M-00.00.00 „Wymagania ogólne” [1] </w:t>
      </w:r>
      <w:proofErr w:type="spellStart"/>
      <w:r>
        <w:t>pkt</w:t>
      </w:r>
      <w:proofErr w:type="spellEnd"/>
      <w:r>
        <w:t xml:space="preserve"> 9.</w:t>
      </w:r>
    </w:p>
    <w:p w:rsidR="008257AF" w:rsidRDefault="008257AF" w:rsidP="008257AF">
      <w:pPr>
        <w:pStyle w:val="Nagwek2"/>
        <w:numPr>
          <w:ilvl w:val="12"/>
          <w:numId w:val="0"/>
        </w:numPr>
      </w:pPr>
      <w:r>
        <w:t>9.2. Cena jednostki obmiarowej</w:t>
      </w:r>
    </w:p>
    <w:p w:rsidR="008257AF" w:rsidRDefault="008257AF" w:rsidP="008257AF">
      <w:pPr>
        <w:numPr>
          <w:ilvl w:val="12"/>
          <w:numId w:val="0"/>
        </w:numPr>
      </w:pPr>
      <w:r>
        <w:tab/>
        <w:t xml:space="preserve">Cena wykonania  </w:t>
      </w:r>
      <w:smartTag w:uri="urn:schemas-microsoft-com:office:smarttags" w:element="metricconverter">
        <w:smartTagPr>
          <w:attr w:name="ProductID" w:val="1 m2"/>
        </w:smartTagPr>
        <w:r>
          <w:t>1 m</w:t>
        </w:r>
        <w:r>
          <w:rPr>
            <w:vertAlign w:val="superscript"/>
          </w:rPr>
          <w:t>2</w:t>
        </w:r>
      </w:smartTag>
      <w:r>
        <w:t xml:space="preserve"> (metra kwadratow</w:t>
      </w:r>
      <w:r w:rsidR="006837AC">
        <w:t>ego</w:t>
      </w:r>
      <w:r>
        <w:t>) ciągu pieszo-rowerowego obejmuje:</w:t>
      </w:r>
    </w:p>
    <w:p w:rsidR="008257AF" w:rsidRDefault="008257AF" w:rsidP="008257AF">
      <w:pPr>
        <w:numPr>
          <w:ilvl w:val="0"/>
          <w:numId w:val="18"/>
        </w:numPr>
      </w:pPr>
      <w:r>
        <w:t>prace pomiarowe i roboty przygotowawcze,</w:t>
      </w:r>
    </w:p>
    <w:p w:rsidR="008257AF" w:rsidRDefault="008257AF" w:rsidP="008257AF">
      <w:pPr>
        <w:numPr>
          <w:ilvl w:val="0"/>
          <w:numId w:val="18"/>
        </w:numPr>
      </w:pPr>
      <w:r>
        <w:t>oznakowanie robót,</w:t>
      </w:r>
    </w:p>
    <w:p w:rsidR="008257AF" w:rsidRDefault="008257AF" w:rsidP="008257AF">
      <w:pPr>
        <w:numPr>
          <w:ilvl w:val="0"/>
          <w:numId w:val="18"/>
        </w:numPr>
      </w:pPr>
      <w:r>
        <w:t>przygotowanie podłoża,</w:t>
      </w:r>
    </w:p>
    <w:p w:rsidR="008257AF" w:rsidRDefault="008257AF" w:rsidP="008257AF">
      <w:pPr>
        <w:numPr>
          <w:ilvl w:val="0"/>
          <w:numId w:val="18"/>
        </w:numPr>
      </w:pPr>
      <w:r>
        <w:t>dostarczenie materiałów i sprzętu,</w:t>
      </w:r>
    </w:p>
    <w:p w:rsidR="008257AF" w:rsidRDefault="008257AF" w:rsidP="008257AF">
      <w:pPr>
        <w:numPr>
          <w:ilvl w:val="0"/>
          <w:numId w:val="18"/>
        </w:numPr>
      </w:pPr>
      <w:r>
        <w:t>wykonanie podsypki,</w:t>
      </w:r>
    </w:p>
    <w:p w:rsidR="008257AF" w:rsidRDefault="008257AF" w:rsidP="008257AF">
      <w:pPr>
        <w:numPr>
          <w:ilvl w:val="0"/>
          <w:numId w:val="18"/>
        </w:numPr>
      </w:pPr>
      <w:r>
        <w:t>ew. wykonanie podbudowy,</w:t>
      </w:r>
    </w:p>
    <w:p w:rsidR="008257AF" w:rsidRDefault="008257AF" w:rsidP="008257AF">
      <w:pPr>
        <w:numPr>
          <w:ilvl w:val="0"/>
          <w:numId w:val="18"/>
        </w:numPr>
      </w:pPr>
      <w:r>
        <w:t>wykonanie nawierzchni ścieżki rowerowej i chodnika,</w:t>
      </w:r>
    </w:p>
    <w:p w:rsidR="008257AF" w:rsidRDefault="008257AF" w:rsidP="008257AF">
      <w:pPr>
        <w:numPr>
          <w:ilvl w:val="0"/>
          <w:numId w:val="18"/>
        </w:numPr>
      </w:pPr>
      <w:r>
        <w:t>wykonanie obramowań nawierzchni i ew. ścieku,</w:t>
      </w:r>
    </w:p>
    <w:p w:rsidR="008257AF" w:rsidRDefault="008257AF" w:rsidP="008257AF">
      <w:pPr>
        <w:numPr>
          <w:ilvl w:val="0"/>
          <w:numId w:val="18"/>
        </w:numPr>
      </w:pPr>
      <w:r>
        <w:t>pielęgnację nawierzchni,</w:t>
      </w:r>
    </w:p>
    <w:p w:rsidR="008257AF" w:rsidRDefault="008257AF" w:rsidP="008257AF">
      <w:pPr>
        <w:numPr>
          <w:ilvl w:val="0"/>
          <w:numId w:val="18"/>
        </w:numPr>
      </w:pPr>
      <w:r>
        <w:t>przeprowadzenie pomiarów i badań wymaganych w specyfikacji technicznej,</w:t>
      </w:r>
    </w:p>
    <w:p w:rsidR="008257AF" w:rsidRDefault="008257AF" w:rsidP="008257AF">
      <w:pPr>
        <w:numPr>
          <w:ilvl w:val="0"/>
          <w:numId w:val="18"/>
        </w:numPr>
        <w:rPr>
          <w:b/>
        </w:rPr>
      </w:pPr>
      <w:r>
        <w:t>odwiezienie sprzętu.</w:t>
      </w:r>
    </w:p>
    <w:p w:rsidR="008257AF" w:rsidRDefault="008257AF" w:rsidP="008257AF">
      <w:pPr>
        <w:pStyle w:val="Nagwek2"/>
      </w:pPr>
      <w:r>
        <w:t>9.3. Sposób rozliczenia robót tymczasowych i prac towarzyszących</w:t>
      </w:r>
    </w:p>
    <w:p w:rsidR="008257AF" w:rsidRDefault="008257AF" w:rsidP="008257AF">
      <w:r>
        <w:tab/>
        <w:t>Cena wykonan</w:t>
      </w:r>
      <w:r w:rsidR="00D36852">
        <w:t xml:space="preserve">ia robót określonych niniejszą </w:t>
      </w:r>
      <w:r>
        <w:t>ST obejmuje:</w:t>
      </w:r>
    </w:p>
    <w:p w:rsidR="008257AF" w:rsidRDefault="008257AF" w:rsidP="008257AF">
      <w:pPr>
        <w:numPr>
          <w:ilvl w:val="0"/>
          <w:numId w:val="18"/>
        </w:numPr>
      </w:pPr>
      <w:r>
        <w:t>roboty tymczasowe, które są potrzebne do wykonania robót podstawowych, ale nie są przekazywane Zamawiającemu i są usuwane po wykonaniu robót podstawowych,</w:t>
      </w:r>
    </w:p>
    <w:p w:rsidR="008257AF" w:rsidRDefault="008257AF" w:rsidP="008257AF">
      <w:pPr>
        <w:numPr>
          <w:ilvl w:val="0"/>
          <w:numId w:val="18"/>
        </w:numPr>
      </w:pPr>
      <w:r>
        <w:t>prace towarzyszące, które są niezbędne do wykonania robót podstawowych, niezaliczane do robót tymczasowych, jak geodezyjne wytyczenie robót itd.</w:t>
      </w:r>
    </w:p>
    <w:p w:rsidR="00BD1087" w:rsidRDefault="00BD1087" w:rsidP="00BD1087">
      <w:pPr>
        <w:pStyle w:val="Nagwek1"/>
      </w:pPr>
      <w:r>
        <w:lastRenderedPageBreak/>
        <w:t>10. Przepisy związane</w:t>
      </w:r>
      <w:bookmarkEnd w:id="18"/>
    </w:p>
    <w:p w:rsidR="008C6EE1" w:rsidRDefault="008C6EE1" w:rsidP="008C6EE1">
      <w:pPr>
        <w:pStyle w:val="Nagwek2"/>
      </w:pPr>
      <w:r>
        <w:t>10.1. O</w:t>
      </w:r>
      <w:r w:rsidR="00D36852">
        <w:t>gólne specyfikacje techniczne (</w:t>
      </w:r>
      <w:r>
        <w:t>ST)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974"/>
        <w:gridCol w:w="6457"/>
      </w:tblGrid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bookmarkStart w:id="19" w:name="_Toc344981403"/>
            <w:r>
              <w:t>1.</w:t>
            </w:r>
          </w:p>
        </w:tc>
        <w:tc>
          <w:tcPr>
            <w:tcW w:w="1974" w:type="dxa"/>
          </w:tcPr>
          <w:p w:rsidR="008257AF" w:rsidRDefault="008257AF" w:rsidP="0036416C">
            <w:r>
              <w:t xml:space="preserve"> D-M-00.00.00</w:t>
            </w:r>
          </w:p>
        </w:tc>
        <w:tc>
          <w:tcPr>
            <w:tcW w:w="6457" w:type="dxa"/>
          </w:tcPr>
          <w:p w:rsidR="008257AF" w:rsidRDefault="008257AF" w:rsidP="0036416C">
            <w:r>
              <w:t>Wymagania ogólne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2.</w:t>
            </w:r>
          </w:p>
        </w:tc>
        <w:tc>
          <w:tcPr>
            <w:tcW w:w="1974" w:type="dxa"/>
          </w:tcPr>
          <w:p w:rsidR="008257AF" w:rsidRDefault="008257AF" w:rsidP="0036416C">
            <w:pPr>
              <w:jc w:val="left"/>
            </w:pPr>
            <w:r>
              <w:t xml:space="preserve"> D-01.00.00</w:t>
            </w:r>
          </w:p>
        </w:tc>
        <w:tc>
          <w:tcPr>
            <w:tcW w:w="6457" w:type="dxa"/>
          </w:tcPr>
          <w:p w:rsidR="008257AF" w:rsidRDefault="008257AF" w:rsidP="0036416C">
            <w:r>
              <w:t>Roboty przygotowawcze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3.</w:t>
            </w:r>
          </w:p>
        </w:tc>
        <w:tc>
          <w:tcPr>
            <w:tcW w:w="1974" w:type="dxa"/>
          </w:tcPr>
          <w:p w:rsidR="008257AF" w:rsidRDefault="008257AF" w:rsidP="0036416C">
            <w:r>
              <w:t xml:space="preserve"> D-02.00.00</w:t>
            </w:r>
          </w:p>
        </w:tc>
        <w:tc>
          <w:tcPr>
            <w:tcW w:w="6457" w:type="dxa"/>
          </w:tcPr>
          <w:p w:rsidR="008257AF" w:rsidRDefault="008257AF" w:rsidP="0036416C">
            <w:r>
              <w:t>Roboty ziemne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4.</w:t>
            </w:r>
          </w:p>
        </w:tc>
        <w:tc>
          <w:tcPr>
            <w:tcW w:w="1974" w:type="dxa"/>
          </w:tcPr>
          <w:p w:rsidR="008257AF" w:rsidRDefault="008257AF" w:rsidP="0036416C">
            <w:pPr>
              <w:ind w:left="213" w:hanging="213"/>
              <w:jc w:val="left"/>
            </w:pPr>
            <w:r>
              <w:t xml:space="preserve"> D-04.01.01  ÷04.03.01</w:t>
            </w:r>
          </w:p>
        </w:tc>
        <w:tc>
          <w:tcPr>
            <w:tcW w:w="6457" w:type="dxa"/>
          </w:tcPr>
          <w:p w:rsidR="008257AF" w:rsidRDefault="008257AF" w:rsidP="0036416C">
            <w:r>
              <w:t>Dolne warstwy podbudów oraz oczyszczenie i skropienie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5.</w:t>
            </w:r>
          </w:p>
        </w:tc>
        <w:tc>
          <w:tcPr>
            <w:tcW w:w="1974" w:type="dxa"/>
          </w:tcPr>
          <w:p w:rsidR="008257AF" w:rsidRDefault="008257AF" w:rsidP="0036416C">
            <w:r w:rsidRPr="00032D09">
              <w:t>D-04.04.00a</w:t>
            </w:r>
          </w:p>
        </w:tc>
        <w:tc>
          <w:tcPr>
            <w:tcW w:w="6457" w:type="dxa"/>
          </w:tcPr>
          <w:p w:rsidR="008257AF" w:rsidRDefault="008257AF" w:rsidP="0036416C">
            <w:r w:rsidRPr="00032D09">
              <w:t>Podłoże ulepszone z mieszanki kruszywa niezwiązanego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6.</w:t>
            </w:r>
          </w:p>
        </w:tc>
        <w:tc>
          <w:tcPr>
            <w:tcW w:w="1974" w:type="dxa"/>
          </w:tcPr>
          <w:p w:rsidR="008257AF" w:rsidRDefault="008257AF" w:rsidP="0036416C">
            <w:pPr>
              <w:ind w:left="213" w:hanging="213"/>
            </w:pPr>
            <w:r w:rsidRPr="000556A9">
              <w:t>D-04.04.02b</w:t>
            </w:r>
          </w:p>
        </w:tc>
        <w:tc>
          <w:tcPr>
            <w:tcW w:w="6457" w:type="dxa"/>
          </w:tcPr>
          <w:p w:rsidR="008257AF" w:rsidRDefault="008257AF" w:rsidP="0036416C">
            <w:r w:rsidRPr="000556A9">
              <w:t>Podbudowa zasadnicza z miesz</w:t>
            </w:r>
            <w:r>
              <w:t>anki kruszywa niezwiązanego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7.</w:t>
            </w:r>
          </w:p>
        </w:tc>
        <w:tc>
          <w:tcPr>
            <w:tcW w:w="1974" w:type="dxa"/>
          </w:tcPr>
          <w:p w:rsidR="008257AF" w:rsidRPr="008B3BF2" w:rsidRDefault="008257AF" w:rsidP="0036416C">
            <w:pPr>
              <w:ind w:left="213" w:hanging="213"/>
            </w:pPr>
            <w:r w:rsidRPr="008B3BF2">
              <w:t>D-04.05.01a</w:t>
            </w:r>
          </w:p>
        </w:tc>
        <w:tc>
          <w:tcPr>
            <w:tcW w:w="6457" w:type="dxa"/>
          </w:tcPr>
          <w:p w:rsidR="008257AF" w:rsidRPr="008B3BF2" w:rsidRDefault="008257AF" w:rsidP="0036416C">
            <w:pPr>
              <w:ind w:left="66"/>
            </w:pPr>
            <w:r w:rsidRPr="008B3BF2">
              <w:t>Podbudowa i podłoże ulepszone z mieszanki kruszywa związanego hydraulicznie cementem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8.</w:t>
            </w:r>
          </w:p>
        </w:tc>
        <w:tc>
          <w:tcPr>
            <w:tcW w:w="1974" w:type="dxa"/>
          </w:tcPr>
          <w:p w:rsidR="008257AF" w:rsidRPr="008B3BF2" w:rsidRDefault="008257AF" w:rsidP="0036416C">
            <w:pPr>
              <w:ind w:left="213" w:hanging="213"/>
            </w:pPr>
            <w:r w:rsidRPr="008B3BF2">
              <w:t>D-04.05.03a</w:t>
            </w:r>
          </w:p>
        </w:tc>
        <w:tc>
          <w:tcPr>
            <w:tcW w:w="6457" w:type="dxa"/>
          </w:tcPr>
          <w:p w:rsidR="008257AF" w:rsidRPr="008B3BF2" w:rsidRDefault="008257AF" w:rsidP="0036416C">
            <w:r w:rsidRPr="008B3BF2">
              <w:t>Podbudowa i podłoże ulepszone z mieszanki kruszywa związanego hydraulicznie popiołem lotnym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9.</w:t>
            </w:r>
          </w:p>
        </w:tc>
        <w:tc>
          <w:tcPr>
            <w:tcW w:w="1974" w:type="dxa"/>
          </w:tcPr>
          <w:p w:rsidR="008257AF" w:rsidRPr="008B3BF2" w:rsidRDefault="008257AF" w:rsidP="0036416C">
            <w:pPr>
              <w:ind w:left="213" w:hanging="213"/>
            </w:pPr>
            <w:r w:rsidRPr="008B3BF2">
              <w:t>D-04.05.04a</w:t>
            </w:r>
          </w:p>
        </w:tc>
        <w:tc>
          <w:tcPr>
            <w:tcW w:w="6457" w:type="dxa"/>
          </w:tcPr>
          <w:p w:rsidR="008257AF" w:rsidRPr="008B3BF2" w:rsidRDefault="008257AF" w:rsidP="0036416C">
            <w:r w:rsidRPr="008B3BF2">
              <w:t>Podbudowa i podłoże ulepszone z mieszanki kruszywa związanego hydraulicznie granulowanym żużlem wielkopiecowym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10.</w:t>
            </w:r>
          </w:p>
        </w:tc>
        <w:tc>
          <w:tcPr>
            <w:tcW w:w="1974" w:type="dxa"/>
          </w:tcPr>
          <w:p w:rsidR="008257AF" w:rsidRPr="008B3BF2" w:rsidRDefault="008257AF" w:rsidP="0036416C">
            <w:pPr>
              <w:ind w:left="213" w:hanging="213"/>
            </w:pPr>
            <w:r w:rsidRPr="008B3BF2">
              <w:t>D-04.05.05a</w:t>
            </w:r>
          </w:p>
        </w:tc>
        <w:tc>
          <w:tcPr>
            <w:tcW w:w="6457" w:type="dxa"/>
          </w:tcPr>
          <w:p w:rsidR="008257AF" w:rsidRPr="008B3BF2" w:rsidRDefault="008257AF" w:rsidP="0036416C">
            <w:r w:rsidRPr="008B3BF2">
              <w:t>Podbudowa i podłoże ulepszone z mieszanki kruszywa związanego gotowym wyrobem hydraulicznego spoiwa drogowego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11.</w:t>
            </w:r>
          </w:p>
        </w:tc>
        <w:tc>
          <w:tcPr>
            <w:tcW w:w="1974" w:type="dxa"/>
          </w:tcPr>
          <w:p w:rsidR="008257AF" w:rsidRDefault="008257AF" w:rsidP="0036416C">
            <w:pPr>
              <w:ind w:left="213" w:hanging="213"/>
            </w:pPr>
            <w:r w:rsidRPr="0079555D">
              <w:t xml:space="preserve">D-04.12.01   </w:t>
            </w:r>
          </w:p>
        </w:tc>
        <w:tc>
          <w:tcPr>
            <w:tcW w:w="6457" w:type="dxa"/>
          </w:tcPr>
          <w:p w:rsidR="008257AF" w:rsidRDefault="008257AF" w:rsidP="0036416C">
            <w:r w:rsidRPr="0079555D">
              <w:t>Podbudowa gruntowa stabilizowana dodatkami zwiększającymi odporność na absorpcję kapilarną wody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12.</w:t>
            </w:r>
          </w:p>
        </w:tc>
        <w:tc>
          <w:tcPr>
            <w:tcW w:w="1974" w:type="dxa"/>
          </w:tcPr>
          <w:p w:rsidR="008257AF" w:rsidRDefault="008257AF" w:rsidP="0036416C">
            <w:pPr>
              <w:ind w:left="213" w:hanging="213"/>
            </w:pPr>
            <w:r>
              <w:t>D-05.03.01</w:t>
            </w:r>
          </w:p>
        </w:tc>
        <w:tc>
          <w:tcPr>
            <w:tcW w:w="6457" w:type="dxa"/>
          </w:tcPr>
          <w:p w:rsidR="008257AF" w:rsidRDefault="008257AF" w:rsidP="0036416C">
            <w:r>
              <w:t>Nawierzchnia z kostki kamiennej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13.</w:t>
            </w:r>
          </w:p>
        </w:tc>
        <w:tc>
          <w:tcPr>
            <w:tcW w:w="1974" w:type="dxa"/>
          </w:tcPr>
          <w:p w:rsidR="008257AF" w:rsidRDefault="008257AF" w:rsidP="0036416C">
            <w:pPr>
              <w:ind w:left="213" w:hanging="213"/>
            </w:pPr>
            <w:r>
              <w:t>D-05.03.05a</w:t>
            </w:r>
          </w:p>
        </w:tc>
        <w:tc>
          <w:tcPr>
            <w:tcW w:w="6457" w:type="dxa"/>
          </w:tcPr>
          <w:p w:rsidR="008257AF" w:rsidRDefault="008257AF" w:rsidP="0036416C">
            <w:r>
              <w:t>Nawierzchnia z betonu asfaltowego. Warstwa ścieralna wg WT-1 i WT-2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14.</w:t>
            </w:r>
          </w:p>
        </w:tc>
        <w:tc>
          <w:tcPr>
            <w:tcW w:w="1974" w:type="dxa"/>
          </w:tcPr>
          <w:p w:rsidR="008257AF" w:rsidRDefault="008257AF" w:rsidP="0036416C">
            <w:pPr>
              <w:ind w:left="213" w:hanging="213"/>
            </w:pPr>
            <w:r>
              <w:t>D-05.03.07a</w:t>
            </w:r>
          </w:p>
        </w:tc>
        <w:tc>
          <w:tcPr>
            <w:tcW w:w="6457" w:type="dxa"/>
          </w:tcPr>
          <w:p w:rsidR="008257AF" w:rsidRDefault="008257AF" w:rsidP="0036416C">
            <w:r>
              <w:t>Nawierzchnia z asfaltu lanego wg WT-1 i WT-2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15.</w:t>
            </w:r>
          </w:p>
        </w:tc>
        <w:tc>
          <w:tcPr>
            <w:tcW w:w="1974" w:type="dxa"/>
          </w:tcPr>
          <w:p w:rsidR="008257AF" w:rsidRDefault="008257AF" w:rsidP="0036416C">
            <w:pPr>
              <w:ind w:left="213" w:hanging="213"/>
            </w:pPr>
            <w:r>
              <w:t>D-05.03.22</w:t>
            </w:r>
          </w:p>
        </w:tc>
        <w:tc>
          <w:tcPr>
            <w:tcW w:w="6457" w:type="dxa"/>
          </w:tcPr>
          <w:p w:rsidR="008257AF" w:rsidRDefault="008257AF" w:rsidP="0036416C">
            <w:r>
              <w:t>Nawierzchnia z asfaltu piaskowego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center"/>
            </w:pPr>
            <w:r>
              <w:t>16.</w:t>
            </w:r>
          </w:p>
        </w:tc>
        <w:tc>
          <w:tcPr>
            <w:tcW w:w="1974" w:type="dxa"/>
          </w:tcPr>
          <w:p w:rsidR="008257AF" w:rsidRDefault="008257AF" w:rsidP="0036416C">
            <w:pPr>
              <w:ind w:left="213" w:hanging="213"/>
            </w:pPr>
            <w:r>
              <w:t>D-05.03.23a</w:t>
            </w:r>
          </w:p>
        </w:tc>
        <w:tc>
          <w:tcPr>
            <w:tcW w:w="6457" w:type="dxa"/>
          </w:tcPr>
          <w:p w:rsidR="008257AF" w:rsidRDefault="008257AF" w:rsidP="0036416C">
            <w:r>
              <w:t>Nawierzchnia z betonowej kostki brukowej dla dróg, ulic oraz placów i chodników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left"/>
            </w:pPr>
            <w:r>
              <w:t>17.</w:t>
            </w:r>
          </w:p>
        </w:tc>
        <w:tc>
          <w:tcPr>
            <w:tcW w:w="1974" w:type="dxa"/>
          </w:tcPr>
          <w:p w:rsidR="008257AF" w:rsidRDefault="008257AF" w:rsidP="0036416C">
            <w:r>
              <w:t>D-07.01.01</w:t>
            </w:r>
          </w:p>
        </w:tc>
        <w:tc>
          <w:tcPr>
            <w:tcW w:w="6457" w:type="dxa"/>
          </w:tcPr>
          <w:p w:rsidR="008257AF" w:rsidRDefault="008257AF" w:rsidP="0036416C">
            <w:r>
              <w:t>Oznakowanie poziome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left"/>
            </w:pPr>
            <w:r>
              <w:t>18.</w:t>
            </w:r>
          </w:p>
        </w:tc>
        <w:tc>
          <w:tcPr>
            <w:tcW w:w="1974" w:type="dxa"/>
          </w:tcPr>
          <w:p w:rsidR="008257AF" w:rsidRDefault="008257AF" w:rsidP="0036416C">
            <w:r>
              <w:t>D-07.02.01</w:t>
            </w:r>
          </w:p>
        </w:tc>
        <w:tc>
          <w:tcPr>
            <w:tcW w:w="6457" w:type="dxa"/>
          </w:tcPr>
          <w:p w:rsidR="008257AF" w:rsidRDefault="008257AF" w:rsidP="0036416C">
            <w:r>
              <w:t>Oznakowanie pionowe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left"/>
            </w:pPr>
            <w:r>
              <w:t>19.</w:t>
            </w:r>
          </w:p>
        </w:tc>
        <w:tc>
          <w:tcPr>
            <w:tcW w:w="1974" w:type="dxa"/>
          </w:tcPr>
          <w:p w:rsidR="008257AF" w:rsidRDefault="008257AF" w:rsidP="0036416C">
            <w:r>
              <w:t>D-08.01.01b</w:t>
            </w:r>
          </w:p>
        </w:tc>
        <w:tc>
          <w:tcPr>
            <w:tcW w:w="6457" w:type="dxa"/>
          </w:tcPr>
          <w:p w:rsidR="008257AF" w:rsidRDefault="008257AF" w:rsidP="0036416C">
            <w:r>
              <w:t>Ustawienie krawężników betonowych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left"/>
            </w:pPr>
            <w:r>
              <w:t>20.</w:t>
            </w:r>
          </w:p>
        </w:tc>
        <w:tc>
          <w:tcPr>
            <w:tcW w:w="1974" w:type="dxa"/>
          </w:tcPr>
          <w:p w:rsidR="008257AF" w:rsidRDefault="008257AF" w:rsidP="0036416C">
            <w:r>
              <w:t>D-08.01.02a</w:t>
            </w:r>
          </w:p>
        </w:tc>
        <w:tc>
          <w:tcPr>
            <w:tcW w:w="6457" w:type="dxa"/>
          </w:tcPr>
          <w:p w:rsidR="008257AF" w:rsidRDefault="008257AF" w:rsidP="0036416C">
            <w:r>
              <w:t>Ustawienie krawężników kamiennych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left"/>
            </w:pPr>
            <w:r>
              <w:t>21.</w:t>
            </w:r>
          </w:p>
        </w:tc>
        <w:tc>
          <w:tcPr>
            <w:tcW w:w="1974" w:type="dxa"/>
          </w:tcPr>
          <w:p w:rsidR="008257AF" w:rsidRDefault="008257AF" w:rsidP="0036416C">
            <w:r w:rsidRPr="00CD0CFB">
              <w:t>D-08.02.01a</w:t>
            </w:r>
          </w:p>
        </w:tc>
        <w:tc>
          <w:tcPr>
            <w:tcW w:w="6457" w:type="dxa"/>
          </w:tcPr>
          <w:p w:rsidR="008257AF" w:rsidRDefault="008257AF" w:rsidP="0036416C">
            <w:r w:rsidRPr="00CD0CFB">
              <w:t>Chodnik z betonowych płyt brukowych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left"/>
            </w:pPr>
            <w:r>
              <w:t>22.</w:t>
            </w:r>
          </w:p>
        </w:tc>
        <w:tc>
          <w:tcPr>
            <w:tcW w:w="1974" w:type="dxa"/>
          </w:tcPr>
          <w:p w:rsidR="008257AF" w:rsidRPr="008B3BF2" w:rsidRDefault="008257AF" w:rsidP="0036416C">
            <w:r w:rsidRPr="008B3BF2">
              <w:t>D-08.05.06a</w:t>
            </w:r>
          </w:p>
        </w:tc>
        <w:tc>
          <w:tcPr>
            <w:tcW w:w="6457" w:type="dxa"/>
          </w:tcPr>
          <w:p w:rsidR="008257AF" w:rsidRPr="008B3BF2" w:rsidRDefault="008257AF" w:rsidP="0036416C">
            <w:r w:rsidRPr="008B3BF2">
              <w:t>Ściek uliczny z betonowej kostki brukowej</w:t>
            </w:r>
          </w:p>
        </w:tc>
      </w:tr>
      <w:tr w:rsidR="008257AF">
        <w:tc>
          <w:tcPr>
            <w:tcW w:w="496" w:type="dxa"/>
          </w:tcPr>
          <w:p w:rsidR="008257AF" w:rsidRDefault="008257AF" w:rsidP="0036416C">
            <w:pPr>
              <w:jc w:val="left"/>
            </w:pPr>
            <w:r>
              <w:t>23.</w:t>
            </w:r>
          </w:p>
        </w:tc>
        <w:tc>
          <w:tcPr>
            <w:tcW w:w="1974" w:type="dxa"/>
          </w:tcPr>
          <w:p w:rsidR="008257AF" w:rsidRDefault="008257AF" w:rsidP="0036416C">
            <w:r>
              <w:t>D-10.03.01c</w:t>
            </w:r>
          </w:p>
        </w:tc>
        <w:tc>
          <w:tcPr>
            <w:tcW w:w="6457" w:type="dxa"/>
          </w:tcPr>
          <w:p w:rsidR="008257AF" w:rsidRDefault="008257AF" w:rsidP="0036416C">
            <w:r>
              <w:t>Tymczasowa nawierzchnia z prefabrykowanych betonowych płyt wielkowymiarowych</w:t>
            </w:r>
          </w:p>
        </w:tc>
      </w:tr>
    </w:tbl>
    <w:p w:rsidR="008257AF" w:rsidRDefault="008257AF" w:rsidP="008257AF">
      <w:pPr>
        <w:pStyle w:val="Nagwek2"/>
      </w:pPr>
      <w:r>
        <w:t>10.3. Inne dokumenty</w:t>
      </w:r>
    </w:p>
    <w:p w:rsidR="008257AF" w:rsidRDefault="008257AF" w:rsidP="008257AF">
      <w:pPr>
        <w:numPr>
          <w:ilvl w:val="0"/>
          <w:numId w:val="34"/>
        </w:numPr>
        <w:tabs>
          <w:tab w:val="clear" w:pos="1440"/>
          <w:tab w:val="num" w:pos="426"/>
        </w:tabs>
        <w:ind w:left="426" w:hanging="426"/>
      </w:pPr>
      <w:r>
        <w:t xml:space="preserve">Rozporządzenie Ministra Transportu i Gospodarki Morskiej z 2 marca 1999 r. w sprawie warunków technicznych, jakim powinny odpowiadać drogi publiczne i ich usytuowanie (tekst jednolity </w:t>
      </w:r>
      <w:proofErr w:type="spellStart"/>
      <w:r>
        <w:t>Dz.U</w:t>
      </w:r>
      <w:proofErr w:type="spellEnd"/>
      <w:r>
        <w:t xml:space="preserve">. z 2016 r., poz. 124 z </w:t>
      </w:r>
      <w:proofErr w:type="spellStart"/>
      <w:r>
        <w:t>późn</w:t>
      </w:r>
      <w:proofErr w:type="spellEnd"/>
      <w:r>
        <w:t>. zm.)</w:t>
      </w:r>
    </w:p>
    <w:p w:rsidR="008257AF" w:rsidRDefault="008257AF" w:rsidP="008257AF">
      <w:pPr>
        <w:numPr>
          <w:ilvl w:val="0"/>
          <w:numId w:val="34"/>
        </w:numPr>
        <w:tabs>
          <w:tab w:val="clear" w:pos="1440"/>
          <w:tab w:val="num" w:pos="426"/>
        </w:tabs>
        <w:ind w:left="426" w:hanging="426"/>
      </w:pPr>
      <w:r w:rsidRPr="00D62708">
        <w:t>Rozporządzenie Ministra Infrastruktury z dnia 3 lipca 2003 r. w sprawie szczegółowych warunków technicznych dla znaków i sygnałów drogowych oraz urządzeń bezpieczeństwa ruchu drogowego i warunków ich umieszczenia na drogach (</w:t>
      </w:r>
      <w:proofErr w:type="spellStart"/>
      <w:r w:rsidRPr="00D62708">
        <w:t>Dz.U</w:t>
      </w:r>
      <w:proofErr w:type="spellEnd"/>
      <w:r w:rsidRPr="00D62708">
        <w:t xml:space="preserve">. nr 220, poz. 2181 z </w:t>
      </w:r>
      <w:proofErr w:type="spellStart"/>
      <w:r w:rsidRPr="00D62708">
        <w:t>późn</w:t>
      </w:r>
      <w:proofErr w:type="spellEnd"/>
      <w:r w:rsidRPr="00D62708">
        <w:t>. zm.)</w:t>
      </w:r>
    </w:p>
    <w:p w:rsidR="008257AF" w:rsidRPr="00C67406" w:rsidRDefault="008257AF" w:rsidP="008257AF">
      <w:pPr>
        <w:numPr>
          <w:ilvl w:val="0"/>
          <w:numId w:val="34"/>
        </w:numPr>
        <w:tabs>
          <w:tab w:val="clear" w:pos="1440"/>
          <w:tab w:val="num" w:pos="426"/>
        </w:tabs>
        <w:ind w:left="426" w:hanging="426"/>
        <w:rPr>
          <w:szCs w:val="24"/>
        </w:rPr>
      </w:pPr>
      <w:r>
        <w:t xml:space="preserve">Wytyczne dla infrastruktury pieszej i rowerowej, Wydanie: 02 Data: 16/01/2017, </w:t>
      </w:r>
      <w:proofErr w:type="spellStart"/>
      <w:r>
        <w:t>GDDKiA</w:t>
      </w:r>
      <w:proofErr w:type="spellEnd"/>
      <w:r>
        <w:t>, [Internet] [dostęp 23.03.2017] Pobrano z :</w:t>
      </w:r>
      <w:r>
        <w:br/>
      </w:r>
      <w:hyperlink r:id="rId7" w:history="1">
        <w:r w:rsidRPr="00D61FBD">
          <w:rPr>
            <w:rStyle w:val="Hipercze"/>
          </w:rPr>
          <w:t>http://www.gddkia.gov.pl/userfiles/articles/s/specyfikacja_13123/III/wytyczne_pieszo_rowerowe%20v12.pdf</w:t>
        </w:r>
      </w:hyperlink>
    </w:p>
    <w:p w:rsidR="008257AF" w:rsidRPr="009A4655" w:rsidRDefault="008257AF" w:rsidP="008257AF">
      <w:pPr>
        <w:numPr>
          <w:ilvl w:val="0"/>
          <w:numId w:val="34"/>
        </w:numPr>
        <w:tabs>
          <w:tab w:val="clear" w:pos="1440"/>
          <w:tab w:val="num" w:pos="426"/>
        </w:tabs>
        <w:ind w:left="426" w:hanging="426"/>
        <w:rPr>
          <w:szCs w:val="24"/>
        </w:rPr>
      </w:pPr>
      <w:r>
        <w:t xml:space="preserve">Projektowanie i budowa dróg i szlaków rowerowych. Zeszyt S-73, </w:t>
      </w:r>
      <w:proofErr w:type="spellStart"/>
      <w:r>
        <w:t>IBDiM</w:t>
      </w:r>
      <w:proofErr w:type="spellEnd"/>
      <w:r>
        <w:t>, Warszawa 2014</w:t>
      </w:r>
    </w:p>
    <w:bookmarkEnd w:id="19"/>
    <w:p w:rsidR="004B1428" w:rsidRDefault="004B1428" w:rsidP="008257AF">
      <w:pPr>
        <w:ind w:left="284" w:hanging="284"/>
      </w:pPr>
    </w:p>
    <w:p w:rsidR="008257AF" w:rsidRDefault="008257AF" w:rsidP="008257AF">
      <w:pPr>
        <w:ind w:left="284" w:hanging="284"/>
      </w:pPr>
    </w:p>
    <w:p w:rsidR="008257AF" w:rsidRDefault="008257AF" w:rsidP="008257AF">
      <w:pPr>
        <w:ind w:left="284" w:hanging="284"/>
        <w:jc w:val="right"/>
        <w:rPr>
          <w:b/>
        </w:rPr>
      </w:pPr>
      <w:r>
        <w:rPr>
          <w:b/>
        </w:rPr>
        <w:t>ZAŁĄCZNIK 3</w:t>
      </w:r>
    </w:p>
    <w:p w:rsidR="004B1428" w:rsidRDefault="008257AF" w:rsidP="004B1428">
      <w:pPr>
        <w:ind w:left="709" w:hanging="709"/>
        <w:jc w:val="center"/>
        <w:rPr>
          <w:b/>
          <w:caps/>
        </w:rPr>
      </w:pPr>
      <w:r w:rsidRPr="00D95482">
        <w:rPr>
          <w:b/>
          <w:caps/>
        </w:rPr>
        <w:t>Oznakowanie (wg [25])</w:t>
      </w:r>
    </w:p>
    <w:p w:rsidR="008257AF" w:rsidRDefault="008257AF" w:rsidP="008257AF"/>
    <w:tbl>
      <w:tblPr>
        <w:tblW w:w="0" w:type="auto"/>
        <w:jc w:val="center"/>
        <w:tblLook w:val="04A0"/>
      </w:tblPr>
      <w:tblGrid>
        <w:gridCol w:w="3786"/>
        <w:gridCol w:w="3846"/>
      </w:tblGrid>
      <w:tr w:rsidR="008257AF">
        <w:trPr>
          <w:jc w:val="center"/>
        </w:trPr>
        <w:tc>
          <w:tcPr>
            <w:tcW w:w="3755" w:type="dxa"/>
          </w:tcPr>
          <w:p w:rsidR="008257AF" w:rsidRDefault="008257AF" w:rsidP="008257AF">
            <w:pPr>
              <w:numPr>
                <w:ilvl w:val="0"/>
                <w:numId w:val="36"/>
              </w:numPr>
              <w:ind w:left="419"/>
            </w:pPr>
            <w:r>
              <w:t>Znak C-13/16 „droga dla rowerów i pieszych” – odmiana z kreską poziomą</w:t>
            </w:r>
          </w:p>
          <w:p w:rsidR="008257AF" w:rsidRDefault="00DD536A" w:rsidP="0036416C">
            <w:r>
              <w:rPr>
                <w:noProof/>
              </w:rPr>
              <w:drawing>
                <wp:inline distT="0" distB="0" distL="0" distR="0">
                  <wp:extent cx="2247900" cy="2076450"/>
                  <wp:effectExtent l="19050" t="0" r="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2076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56" w:type="dxa"/>
          </w:tcPr>
          <w:p w:rsidR="008257AF" w:rsidRDefault="008257AF" w:rsidP="008257AF">
            <w:pPr>
              <w:numPr>
                <w:ilvl w:val="0"/>
                <w:numId w:val="36"/>
              </w:numPr>
              <w:ind w:left="490"/>
            </w:pPr>
            <w:r>
              <w:t>Znak C-13/16 „droga dla rowerów i pieszych” – odmiana z kreską pionową</w:t>
            </w:r>
          </w:p>
          <w:p w:rsidR="008257AF" w:rsidRDefault="008257AF" w:rsidP="0036416C"/>
          <w:p w:rsidR="008257AF" w:rsidRDefault="00DD536A" w:rsidP="0036416C">
            <w:r>
              <w:rPr>
                <w:noProof/>
              </w:rPr>
              <w:drawing>
                <wp:inline distT="0" distB="0" distL="0" distR="0">
                  <wp:extent cx="2286000" cy="2057400"/>
                  <wp:effectExtent l="19050" t="0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257AF" w:rsidRDefault="008257AF" w:rsidP="008257AF">
      <w:pPr>
        <w:ind w:left="709" w:hanging="709"/>
      </w:pPr>
    </w:p>
    <w:p w:rsidR="008257AF" w:rsidRDefault="008257AF" w:rsidP="008257AF">
      <w:pPr>
        <w:ind w:firstLine="709"/>
      </w:pPr>
      <w:r>
        <w:t>Znak C-13/16stosuje się w celu oznaczenia Dróg tylko dla kierujących rowerami i pieszych. Na znaku tym umieszcza się jednocześnie symbole znaków C-13 i C-16.</w:t>
      </w:r>
    </w:p>
    <w:p w:rsidR="008257AF" w:rsidRDefault="008257AF" w:rsidP="008257AF">
      <w:pPr>
        <w:ind w:firstLine="709"/>
      </w:pPr>
      <w:r>
        <w:t>W przypadku gdy ruch rowerów odbywa się po drodze dla rowerów, a ruch pieszych po drodze dla pieszych położonych obok siebie, symbole roweru i pieszych oddziela się kreską pionową.</w:t>
      </w:r>
    </w:p>
    <w:p w:rsidR="00B712DB" w:rsidRDefault="00B712DB" w:rsidP="008257AF">
      <w:pPr>
        <w:ind w:left="257" w:hanging="257"/>
      </w:pPr>
    </w:p>
    <w:p w:rsidR="008257AF" w:rsidRDefault="008257AF" w:rsidP="008257AF">
      <w:pPr>
        <w:ind w:left="257" w:hanging="257"/>
      </w:pPr>
      <w:r>
        <w:t>c)</w:t>
      </w:r>
      <w:r>
        <w:tab/>
        <w:t xml:space="preserve">Znak poziomy P-23 (P-23 mini) „rower” </w:t>
      </w:r>
    </w:p>
    <w:p w:rsidR="008257AF" w:rsidRDefault="008257AF" w:rsidP="008257AF">
      <w:pPr>
        <w:ind w:left="257" w:hanging="257"/>
      </w:pPr>
    </w:p>
    <w:tbl>
      <w:tblPr>
        <w:tblW w:w="0" w:type="auto"/>
        <w:tblInd w:w="2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99"/>
        <w:gridCol w:w="4447"/>
      </w:tblGrid>
      <w:tr w:rsidR="008257AF">
        <w:tc>
          <w:tcPr>
            <w:tcW w:w="4463" w:type="dxa"/>
          </w:tcPr>
          <w:p w:rsidR="008257AF" w:rsidRDefault="008257AF" w:rsidP="0036416C"/>
          <w:p w:rsidR="008257AF" w:rsidRDefault="008257AF" w:rsidP="0036416C"/>
          <w:p w:rsidR="008257AF" w:rsidRDefault="00DD536A" w:rsidP="0036416C">
            <w:r>
              <w:rPr>
                <w:noProof/>
              </w:rPr>
              <w:drawing>
                <wp:inline distT="0" distB="0" distL="0" distR="0">
                  <wp:extent cx="2590800" cy="3667125"/>
                  <wp:effectExtent l="19050" t="0" r="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3667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64" w:type="dxa"/>
          </w:tcPr>
          <w:p w:rsidR="008257AF" w:rsidRDefault="00DD536A" w:rsidP="0036416C">
            <w:r>
              <w:rPr>
                <w:noProof/>
              </w:rPr>
              <w:drawing>
                <wp:inline distT="0" distB="0" distL="0" distR="0">
                  <wp:extent cx="2676525" cy="4162425"/>
                  <wp:effectExtent l="19050" t="0" r="9525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416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257AF" w:rsidRDefault="008257AF" w:rsidP="008257AF">
      <w:pPr>
        <w:ind w:left="709" w:hanging="709"/>
      </w:pPr>
    </w:p>
    <w:p w:rsidR="008257AF" w:rsidRDefault="008257AF" w:rsidP="008257AF">
      <w:pPr>
        <w:ind w:firstLine="709"/>
      </w:pPr>
      <w:r>
        <w:t>Znak P-23 stosowany jest w celu oznaczenia drogi dla rowerów, pasa ruchu dla rowerów, śluzy dla rowerów. Na drogach dla rowerów i pieszych znak P-23 stosuje się łącznie ze znakiem P-26.</w:t>
      </w:r>
    </w:p>
    <w:p w:rsidR="008257AF" w:rsidRDefault="008257AF" w:rsidP="008257AF">
      <w:pPr>
        <w:ind w:firstLine="709"/>
      </w:pPr>
      <w:r>
        <w:t>Odmianę mini znaku P-23 o wymiarach podanych w nawiasach stosuje się, gdy na drodze dla rowerów, pasie ruchu dla rowerów albo śluzie dla rowerów nie jest możliwe umieszczenie znaku P-23 o większych rozmiarach</w:t>
      </w:r>
    </w:p>
    <w:p w:rsidR="00D95482" w:rsidRDefault="00D95482" w:rsidP="008257AF">
      <w:pPr>
        <w:ind w:left="284" w:hanging="284"/>
      </w:pPr>
    </w:p>
    <w:p w:rsidR="008257AF" w:rsidRDefault="008257AF" w:rsidP="008257AF">
      <w:pPr>
        <w:ind w:left="284" w:hanging="284"/>
      </w:pPr>
      <w:r>
        <w:t>d)</w:t>
      </w:r>
      <w:r>
        <w:tab/>
        <w:t>Znak poziomy P-26 „piesi”</w:t>
      </w:r>
    </w:p>
    <w:p w:rsidR="008257AF" w:rsidRDefault="008257AF" w:rsidP="008257AF">
      <w:pPr>
        <w:ind w:left="709" w:hanging="709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755"/>
        <w:gridCol w:w="5136"/>
      </w:tblGrid>
      <w:tr w:rsidR="008257AF">
        <w:trPr>
          <w:jc w:val="center"/>
        </w:trPr>
        <w:tc>
          <w:tcPr>
            <w:tcW w:w="3755" w:type="dxa"/>
          </w:tcPr>
          <w:p w:rsidR="008257AF" w:rsidRDefault="00DD536A" w:rsidP="0036416C">
            <w:r>
              <w:rPr>
                <w:noProof/>
              </w:rPr>
              <w:drawing>
                <wp:inline distT="0" distB="0" distL="0" distR="0">
                  <wp:extent cx="2143125" cy="2514600"/>
                  <wp:effectExtent l="19050" t="0" r="9525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2514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56" w:type="dxa"/>
          </w:tcPr>
          <w:p w:rsidR="008257AF" w:rsidRDefault="00DD536A" w:rsidP="0036416C">
            <w:r>
              <w:rPr>
                <w:noProof/>
              </w:rPr>
              <w:drawing>
                <wp:inline distT="0" distB="0" distL="0" distR="0">
                  <wp:extent cx="3105150" cy="3124200"/>
                  <wp:effectExtent l="19050" t="0" r="0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3124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257AF" w:rsidRDefault="008257AF" w:rsidP="008257AF">
      <w:pPr>
        <w:ind w:left="709" w:hanging="709"/>
      </w:pPr>
    </w:p>
    <w:p w:rsidR="008257AF" w:rsidRDefault="008257AF" w:rsidP="008257AF">
      <w:pPr>
        <w:ind w:left="709" w:hanging="709"/>
      </w:pPr>
    </w:p>
    <w:p w:rsidR="008257AF" w:rsidRDefault="008257AF" w:rsidP="008257AF">
      <w:pPr>
        <w:ind w:firstLine="709"/>
      </w:pPr>
      <w:r>
        <w:t xml:space="preserve">Znak P-26 stosuje się w celu oznaczenia drogi dla pieszych albo drogi dla rowerów i pieszych. </w:t>
      </w:r>
    </w:p>
    <w:p w:rsidR="008257AF" w:rsidRDefault="008257AF" w:rsidP="008257AF">
      <w:pPr>
        <w:ind w:firstLine="709"/>
      </w:pPr>
      <w:r>
        <w:t>Na drodze dla rowerów i pieszych, na której umieszczono znak C-13/16 z kreską pionową, znak P-23 umieszcza się na drodze dla rowerów, a znak P-26 umieszcza się na drodze dla pieszych. Znaki te umieszcza się w tym samym przekroju drogi.</w:t>
      </w:r>
    </w:p>
    <w:p w:rsidR="008257AF" w:rsidRDefault="008257AF" w:rsidP="008257AF">
      <w:pPr>
        <w:ind w:firstLine="709"/>
      </w:pPr>
      <w:r>
        <w:t xml:space="preserve">Na drodze dla rowerów i pieszych, na której umieszczono znak C-13/16 z kreską poziomą, znaki P-23 i P-26 umieszcza się w osi drogi, w sposób analogiczny jak na znaku pionowym, bez kreski poziomej. Znaki te umieszcza się na początku drogi i powtarza na całej długości drogi albo pasa, nie rzadziej niż co </w:t>
      </w:r>
      <w:smartTag w:uri="urn:schemas-microsoft-com:office:smarttags" w:element="metricconverter">
        <w:smartTagPr>
          <w:attr w:name="ProductID" w:val="50 m"/>
        </w:smartTagPr>
        <w:r>
          <w:t>50 m</w:t>
        </w:r>
      </w:smartTag>
      <w:r>
        <w:t xml:space="preserve"> oraz bezpośrednio za każdym połączeniem </w:t>
      </w:r>
      <w:r w:rsidR="00B3557F">
        <w:t>d</w:t>
      </w:r>
      <w:r>
        <w:t>róg.</w:t>
      </w:r>
    </w:p>
    <w:p w:rsidR="00D95482" w:rsidRDefault="00D95482" w:rsidP="009A1D84">
      <w:pPr>
        <w:ind w:left="257" w:hanging="257"/>
        <w:jc w:val="left"/>
      </w:pPr>
    </w:p>
    <w:p w:rsidR="009A1D84" w:rsidRDefault="009A1D84" w:rsidP="009A1D84">
      <w:pPr>
        <w:ind w:left="257" w:hanging="257"/>
        <w:jc w:val="left"/>
      </w:pPr>
      <w:r>
        <w:t>e) Słupek U-12c</w:t>
      </w:r>
    </w:p>
    <w:p w:rsidR="00B822B6" w:rsidRDefault="00B822B6" w:rsidP="00B822B6"/>
    <w:p w:rsidR="00D26252" w:rsidRPr="005811CB" w:rsidRDefault="00DD536A" w:rsidP="008257AF">
      <w:r>
        <w:rPr>
          <w:noProof/>
        </w:rPr>
        <w:drawing>
          <wp:inline distT="0" distB="0" distL="0" distR="0">
            <wp:extent cx="2190750" cy="3419475"/>
            <wp:effectExtent l="1905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26252" w:rsidRPr="005811CB" w:rsidSect="00BA7BDD">
      <w:headerReference w:type="even" r:id="rId15"/>
      <w:headerReference w:type="first" r:id="rId16"/>
      <w:pgSz w:w="11907" w:h="16840" w:code="9"/>
      <w:pgMar w:top="993" w:right="1418" w:bottom="1418" w:left="1418" w:header="1304" w:footer="1418" w:gutter="284"/>
      <w:cols w:space="708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E6F60" w:rsidRDefault="008E6F60">
      <w:r>
        <w:separator/>
      </w:r>
    </w:p>
  </w:endnote>
  <w:endnote w:type="continuationSeparator" w:id="0">
    <w:p w:rsidR="008E6F60" w:rsidRDefault="008E6F6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1A5F50D2-12CF-4EEF-85B6-7C1BA6B8EF42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4BAF5C46-05FC-4F36-9573-A46A54F93624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3" w:fontKey="{1D2A8FA4-0197-4F25-8394-45C8A6E86EA1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4" w:fontKey="{ED6DDBB3-65CB-4E70-9777-587A511193A9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E6F60" w:rsidRDefault="008E6F60">
      <w:r>
        <w:separator/>
      </w:r>
    </w:p>
  </w:footnote>
  <w:footnote w:type="continuationSeparator" w:id="0">
    <w:p w:rsidR="008E6F60" w:rsidRDefault="008E6F6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7885" w:rsidRDefault="000A7885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921"/>
      <w:gridCol w:w="6946"/>
      <w:gridCol w:w="1275"/>
    </w:tblGrid>
    <w:tr w:rsidR="000A7885">
      <w:tc>
        <w:tcPr>
          <w:tcW w:w="921" w:type="dxa"/>
          <w:tcBorders>
            <w:bottom w:val="single" w:sz="6" w:space="0" w:color="auto"/>
          </w:tcBorders>
        </w:tcPr>
        <w:p w:rsidR="000A7885" w:rsidRDefault="00DF48BB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0A7885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0A7885"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:rsidR="000A7885" w:rsidRDefault="000A7885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:rsidR="000A7885" w:rsidRDefault="000A7885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:rsidR="000A7885" w:rsidRDefault="000A7885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1346"/>
      <w:gridCol w:w="6379"/>
      <w:gridCol w:w="1134"/>
    </w:tblGrid>
    <w:tr w:rsidR="000A7885">
      <w:tc>
        <w:tcPr>
          <w:tcW w:w="1346" w:type="dxa"/>
        </w:tcPr>
        <w:p w:rsidR="000A7885" w:rsidRPr="00B146DE" w:rsidRDefault="000A7885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:rsidR="000A7885" w:rsidRPr="00B146DE" w:rsidRDefault="000A7885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:rsidR="000A7885" w:rsidRPr="005811CB" w:rsidRDefault="00DF48BB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="000A7885"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 w:rsidR="000A7885"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:rsidR="000A7885" w:rsidRDefault="000A7885">
    <w:pPr>
      <w:pStyle w:val="Nagwek"/>
      <w:rPr>
        <w:sz w:val="23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>
    <w:nsid w:val="006000BB"/>
    <w:multiLevelType w:val="singleLevel"/>
    <w:tmpl w:val="A0846F00"/>
    <w:lvl w:ilvl="0">
      <w:start w:val="1"/>
      <w:numFmt w:val="decimal"/>
      <w:lvlText w:val="1.4.%1. "/>
      <w:legacy w:legacy="1" w:legacySpace="0" w:legacyIndent="283"/>
      <w:lvlJc w:val="left"/>
      <w:pPr>
        <w:ind w:left="283" w:hanging="283"/>
      </w:pPr>
      <w:rPr>
        <w:b/>
        <w:i w:val="0"/>
        <w:sz w:val="24"/>
        <w:szCs w:val="24"/>
      </w:rPr>
    </w:lvl>
  </w:abstractNum>
  <w:abstractNum w:abstractNumId="2">
    <w:nsid w:val="03FA41BC"/>
    <w:multiLevelType w:val="hybridMultilevel"/>
    <w:tmpl w:val="AF70FF8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4F0163F"/>
    <w:multiLevelType w:val="hybridMultilevel"/>
    <w:tmpl w:val="FB129FBA"/>
    <w:lvl w:ilvl="0" w:tplc="621C3EA0">
      <w:start w:val="20"/>
      <w:numFmt w:val="decimal"/>
      <w:lvlText w:val="%1."/>
      <w:lvlJc w:val="left"/>
      <w:pPr>
        <w:tabs>
          <w:tab w:val="num" w:pos="357"/>
        </w:tabs>
        <w:ind w:left="340" w:hanging="340"/>
      </w:pPr>
      <w:rPr>
        <w:rFonts w:hint="default"/>
      </w:rPr>
    </w:lvl>
    <w:lvl w:ilvl="1" w:tplc="3064C146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9F0A6D"/>
    <w:multiLevelType w:val="hybridMultilevel"/>
    <w:tmpl w:val="44223CD6"/>
    <w:lvl w:ilvl="0" w:tplc="D410FAD4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AE077D3"/>
    <w:multiLevelType w:val="singleLevel"/>
    <w:tmpl w:val="6DF24F14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6">
    <w:nsid w:val="0DF8178D"/>
    <w:multiLevelType w:val="hybridMultilevel"/>
    <w:tmpl w:val="840E94F2"/>
    <w:lvl w:ilvl="0" w:tplc="AC18BB24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0176CEA"/>
    <w:multiLevelType w:val="hybridMultilevel"/>
    <w:tmpl w:val="14A8E040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3025DFB"/>
    <w:multiLevelType w:val="hybridMultilevel"/>
    <w:tmpl w:val="653AFD3C"/>
    <w:lvl w:ilvl="0" w:tplc="AC18BB24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31E169E"/>
    <w:multiLevelType w:val="singleLevel"/>
    <w:tmpl w:val="D684114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0">
    <w:nsid w:val="13A67AB3"/>
    <w:multiLevelType w:val="singleLevel"/>
    <w:tmpl w:val="CAB05A7E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">
    <w:nsid w:val="16254830"/>
    <w:multiLevelType w:val="hybridMultilevel"/>
    <w:tmpl w:val="E16802A6"/>
    <w:lvl w:ilvl="0" w:tplc="B3DC956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194E72AD"/>
    <w:multiLevelType w:val="hybridMultilevel"/>
    <w:tmpl w:val="6BB20A50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96A3C60"/>
    <w:multiLevelType w:val="hybridMultilevel"/>
    <w:tmpl w:val="D13CA378"/>
    <w:lvl w:ilvl="0" w:tplc="95AC7D6E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1AEC7A25"/>
    <w:multiLevelType w:val="hybridMultilevel"/>
    <w:tmpl w:val="860C0860"/>
    <w:lvl w:ilvl="0" w:tplc="D410FAD4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1E803DE7"/>
    <w:multiLevelType w:val="hybridMultilevel"/>
    <w:tmpl w:val="D1EAB4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F4545BC"/>
    <w:multiLevelType w:val="hybridMultilevel"/>
    <w:tmpl w:val="8EA62186"/>
    <w:lvl w:ilvl="0" w:tplc="83E2D8A0">
      <w:start w:val="1"/>
      <w:numFmt w:val="lowerLetter"/>
      <w:lvlText w:val="%1) "/>
      <w:lvlJc w:val="left"/>
      <w:pPr>
        <w:tabs>
          <w:tab w:val="num" w:pos="3637"/>
        </w:tabs>
        <w:ind w:left="3637" w:hanging="397"/>
      </w:pPr>
      <w:rPr>
        <w:rFonts w:hint="default"/>
      </w:rPr>
    </w:lvl>
    <w:lvl w:ilvl="1" w:tplc="6B6EF406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01B6A1F"/>
    <w:multiLevelType w:val="hybridMultilevel"/>
    <w:tmpl w:val="150E3E66"/>
    <w:lvl w:ilvl="0" w:tplc="F4BC8016">
      <w:start w:val="1"/>
      <w:numFmt w:val="bullet"/>
      <w:lvlText w:val=""/>
      <w:lvlJc w:val="left"/>
      <w:pPr>
        <w:tabs>
          <w:tab w:val="num" w:pos="1505"/>
        </w:tabs>
        <w:ind w:left="1505" w:hanging="425"/>
      </w:pPr>
      <w:rPr>
        <w:rFonts w:ascii="Symbol" w:hAnsi="Symbol" w:hint="default"/>
      </w:rPr>
    </w:lvl>
    <w:lvl w:ilvl="1" w:tplc="DF6A7B38">
      <w:start w:val="1"/>
      <w:numFmt w:val="lowerLetter"/>
      <w:lvlText w:val="%2)"/>
      <w:lvlJc w:val="left"/>
      <w:pPr>
        <w:tabs>
          <w:tab w:val="num" w:pos="1505"/>
        </w:tabs>
        <w:ind w:left="1505" w:hanging="425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223505A2"/>
    <w:multiLevelType w:val="hybridMultilevel"/>
    <w:tmpl w:val="988EED5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243661A4"/>
    <w:multiLevelType w:val="hybridMultilevel"/>
    <w:tmpl w:val="2294FAE8"/>
    <w:lvl w:ilvl="0" w:tplc="0B761AF2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28074842"/>
    <w:multiLevelType w:val="singleLevel"/>
    <w:tmpl w:val="2D186262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1">
    <w:nsid w:val="2AAD5BA8"/>
    <w:multiLevelType w:val="hybridMultilevel"/>
    <w:tmpl w:val="E870C774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2CCC5C0B"/>
    <w:multiLevelType w:val="hybridMultilevel"/>
    <w:tmpl w:val="A4E0D768"/>
    <w:lvl w:ilvl="0" w:tplc="83E2D8A0">
      <w:start w:val="1"/>
      <w:numFmt w:val="lowerLetter"/>
      <w:lvlText w:val="%1) "/>
      <w:lvlJc w:val="left"/>
      <w:pPr>
        <w:tabs>
          <w:tab w:val="num" w:pos="3637"/>
        </w:tabs>
        <w:ind w:left="363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3001412F"/>
    <w:multiLevelType w:val="hybridMultilevel"/>
    <w:tmpl w:val="F510253C"/>
    <w:lvl w:ilvl="0" w:tplc="AC18BB24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3DCB55DA"/>
    <w:multiLevelType w:val="singleLevel"/>
    <w:tmpl w:val="8B5AA714"/>
    <w:lvl w:ilvl="0">
      <w:start w:val="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5">
    <w:nsid w:val="41273A60"/>
    <w:multiLevelType w:val="hybridMultilevel"/>
    <w:tmpl w:val="813A196A"/>
    <w:lvl w:ilvl="0" w:tplc="E9A4CC7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8EA7811"/>
    <w:multiLevelType w:val="hybridMultilevel"/>
    <w:tmpl w:val="E368AE1A"/>
    <w:lvl w:ilvl="0" w:tplc="1BD88E8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98D6C3F"/>
    <w:multiLevelType w:val="hybridMultilevel"/>
    <w:tmpl w:val="0074C0F6"/>
    <w:lvl w:ilvl="0" w:tplc="FB92B688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CA32313"/>
    <w:multiLevelType w:val="hybridMultilevel"/>
    <w:tmpl w:val="9DDECBA0"/>
    <w:lvl w:ilvl="0" w:tplc="0B40E93A">
      <w:start w:val="1"/>
      <w:numFmt w:val="bullet"/>
      <w:lvlText w:val="–"/>
      <w:lvlJc w:val="left"/>
      <w:pPr>
        <w:tabs>
          <w:tab w:val="num" w:pos="340"/>
        </w:tabs>
        <w:ind w:left="340" w:hanging="34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D89270A"/>
    <w:multiLevelType w:val="hybridMultilevel"/>
    <w:tmpl w:val="E9AAAD46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E0666DA"/>
    <w:multiLevelType w:val="hybridMultilevel"/>
    <w:tmpl w:val="FEC8CBE6"/>
    <w:lvl w:ilvl="0" w:tplc="D410FAD4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A1B5CF0"/>
    <w:multiLevelType w:val="singleLevel"/>
    <w:tmpl w:val="89364D3C"/>
    <w:lvl w:ilvl="0">
      <w:start w:val="1"/>
      <w:numFmt w:val="bullet"/>
      <w:lvlText w:val=""/>
      <w:lvlJc w:val="left"/>
      <w:pPr>
        <w:tabs>
          <w:tab w:val="num" w:pos="425"/>
        </w:tabs>
        <w:ind w:left="425" w:hanging="425"/>
      </w:pPr>
      <w:rPr>
        <w:rFonts w:ascii="Symbol" w:hAnsi="Symbol" w:hint="default"/>
      </w:rPr>
    </w:lvl>
  </w:abstractNum>
  <w:abstractNum w:abstractNumId="32">
    <w:nsid w:val="6A463C1A"/>
    <w:multiLevelType w:val="multilevel"/>
    <w:tmpl w:val="F098AC58"/>
    <w:lvl w:ilvl="0">
      <w:start w:val="1"/>
      <w:numFmt w:val="decimal"/>
      <w:lvlText w:val="%1."/>
      <w:lvlJc w:val="left"/>
      <w:pPr>
        <w:tabs>
          <w:tab w:val="num" w:pos="357"/>
        </w:tabs>
        <w:ind w:left="340" w:hanging="34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3">
    <w:nsid w:val="756E5223"/>
    <w:multiLevelType w:val="hybridMultilevel"/>
    <w:tmpl w:val="B46E578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DAC79EE"/>
    <w:multiLevelType w:val="hybridMultilevel"/>
    <w:tmpl w:val="E214BB6E"/>
    <w:lvl w:ilvl="0" w:tplc="9EB88CE6">
      <w:start w:val="24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8"/>
  </w:num>
  <w:num w:numId="2">
    <w:abstractNumId w:val="19"/>
  </w:num>
  <w:num w:numId="3">
    <w:abstractNumId w:val="17"/>
  </w:num>
  <w:num w:numId="4">
    <w:abstractNumId w:val="25"/>
  </w:num>
  <w:num w:numId="5">
    <w:abstractNumId w:val="24"/>
  </w:num>
  <w:num w:numId="6">
    <w:abstractNumId w:val="10"/>
  </w:num>
  <w:num w:numId="7">
    <w:abstractNumId w:val="18"/>
  </w:num>
  <w:num w:numId="8">
    <w:abstractNumId w:val="2"/>
  </w:num>
  <w:num w:numId="9">
    <w:abstractNumId w:val="31"/>
  </w:num>
  <w:num w:numId="10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  <w:num w:numId="12">
    <w:abstractNumId w:val="20"/>
  </w:num>
  <w:num w:numId="13">
    <w:abstractNumId w:val="13"/>
  </w:num>
  <w:num w:numId="14">
    <w:abstractNumId w:val="15"/>
  </w:num>
  <w:num w:numId="15">
    <w:abstractNumId w:val="27"/>
  </w:num>
  <w:num w:numId="16">
    <w:abstractNumId w:val="14"/>
  </w:num>
  <w:num w:numId="17">
    <w:abstractNumId w:val="30"/>
  </w:num>
  <w:num w:numId="18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19">
    <w:abstractNumId w:val="9"/>
  </w:num>
  <w:num w:numId="20">
    <w:abstractNumId w:val="33"/>
  </w:num>
  <w:num w:numId="21">
    <w:abstractNumId w:val="11"/>
  </w:num>
  <w:num w:numId="22">
    <w:abstractNumId w:val="7"/>
  </w:num>
  <w:num w:numId="23">
    <w:abstractNumId w:val="4"/>
  </w:num>
  <w:num w:numId="24">
    <w:abstractNumId w:val="1"/>
  </w:num>
  <w:num w:numId="25">
    <w:abstractNumId w:val="22"/>
  </w:num>
  <w:num w:numId="26">
    <w:abstractNumId w:val="21"/>
  </w:num>
  <w:num w:numId="27">
    <w:abstractNumId w:val="32"/>
  </w:num>
  <w:num w:numId="28">
    <w:abstractNumId w:val="16"/>
  </w:num>
  <w:num w:numId="29">
    <w:abstractNumId w:val="6"/>
  </w:num>
  <w:num w:numId="30">
    <w:abstractNumId w:val="8"/>
  </w:num>
  <w:num w:numId="31">
    <w:abstractNumId w:val="23"/>
  </w:num>
  <w:num w:numId="32">
    <w:abstractNumId w:val="29"/>
  </w:num>
  <w:num w:numId="33">
    <w:abstractNumId w:val="12"/>
  </w:num>
  <w:num w:numId="34">
    <w:abstractNumId w:val="34"/>
  </w:num>
  <w:num w:numId="35">
    <w:abstractNumId w:val="3"/>
  </w:num>
  <w:num w:numId="36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attachedTemplate r:id="rId1"/>
  <w:stylePaneFormatFilter w:val="3F01"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BF32F7"/>
    <w:rsid w:val="000611A5"/>
    <w:rsid w:val="000A7885"/>
    <w:rsid w:val="0013383A"/>
    <w:rsid w:val="00166DAE"/>
    <w:rsid w:val="001822CD"/>
    <w:rsid w:val="001A28B7"/>
    <w:rsid w:val="001B4677"/>
    <w:rsid w:val="001C210B"/>
    <w:rsid w:val="001F0191"/>
    <w:rsid w:val="001F1E8F"/>
    <w:rsid w:val="00281B80"/>
    <w:rsid w:val="002B4B04"/>
    <w:rsid w:val="00301F92"/>
    <w:rsid w:val="00317F08"/>
    <w:rsid w:val="003263B3"/>
    <w:rsid w:val="003430C5"/>
    <w:rsid w:val="0036416C"/>
    <w:rsid w:val="003647DE"/>
    <w:rsid w:val="00370AA1"/>
    <w:rsid w:val="003F07DD"/>
    <w:rsid w:val="00425365"/>
    <w:rsid w:val="0044583B"/>
    <w:rsid w:val="004474C0"/>
    <w:rsid w:val="004B1428"/>
    <w:rsid w:val="00507D20"/>
    <w:rsid w:val="00570808"/>
    <w:rsid w:val="005811CB"/>
    <w:rsid w:val="00584FDB"/>
    <w:rsid w:val="005B0234"/>
    <w:rsid w:val="005B401D"/>
    <w:rsid w:val="005C3AA2"/>
    <w:rsid w:val="006406C6"/>
    <w:rsid w:val="0066105D"/>
    <w:rsid w:val="00680367"/>
    <w:rsid w:val="006837AC"/>
    <w:rsid w:val="006B51C3"/>
    <w:rsid w:val="006C36F2"/>
    <w:rsid w:val="0078747B"/>
    <w:rsid w:val="007C5372"/>
    <w:rsid w:val="00821BC1"/>
    <w:rsid w:val="00821D9D"/>
    <w:rsid w:val="008257AF"/>
    <w:rsid w:val="008408A3"/>
    <w:rsid w:val="008B3BF2"/>
    <w:rsid w:val="008C6EE1"/>
    <w:rsid w:val="008E6F60"/>
    <w:rsid w:val="00941FE2"/>
    <w:rsid w:val="009A1D84"/>
    <w:rsid w:val="009A78BB"/>
    <w:rsid w:val="009C35D4"/>
    <w:rsid w:val="009D08B5"/>
    <w:rsid w:val="00A163C0"/>
    <w:rsid w:val="00A5303D"/>
    <w:rsid w:val="00A53056"/>
    <w:rsid w:val="00A578E7"/>
    <w:rsid w:val="00A851DD"/>
    <w:rsid w:val="00AA56C5"/>
    <w:rsid w:val="00AE7A1D"/>
    <w:rsid w:val="00B146DE"/>
    <w:rsid w:val="00B3557F"/>
    <w:rsid w:val="00B51E2C"/>
    <w:rsid w:val="00B712DB"/>
    <w:rsid w:val="00B822B6"/>
    <w:rsid w:val="00BA7BDD"/>
    <w:rsid w:val="00BC01C6"/>
    <w:rsid w:val="00BD1087"/>
    <w:rsid w:val="00BF32F7"/>
    <w:rsid w:val="00C10EDC"/>
    <w:rsid w:val="00C20D8E"/>
    <w:rsid w:val="00C30FE4"/>
    <w:rsid w:val="00C31EC8"/>
    <w:rsid w:val="00C773B8"/>
    <w:rsid w:val="00CB1503"/>
    <w:rsid w:val="00CB62CF"/>
    <w:rsid w:val="00CC5DE4"/>
    <w:rsid w:val="00D26252"/>
    <w:rsid w:val="00D34E2F"/>
    <w:rsid w:val="00D36852"/>
    <w:rsid w:val="00D635E6"/>
    <w:rsid w:val="00D8248C"/>
    <w:rsid w:val="00D95482"/>
    <w:rsid w:val="00DB6D49"/>
    <w:rsid w:val="00DD0A83"/>
    <w:rsid w:val="00DD536A"/>
    <w:rsid w:val="00DE22B8"/>
    <w:rsid w:val="00DF48BB"/>
    <w:rsid w:val="00E23987"/>
    <w:rsid w:val="00E33980"/>
    <w:rsid w:val="00E353B2"/>
    <w:rsid w:val="00E554BF"/>
    <w:rsid w:val="00E63FC7"/>
    <w:rsid w:val="00ED4A3F"/>
    <w:rsid w:val="00F23D88"/>
    <w:rsid w:val="00F70CAC"/>
    <w:rsid w:val="00F9190E"/>
    <w:rsid w:val="00F91916"/>
    <w:rsid w:val="00FA5DCF"/>
    <w:rsid w:val="00FD0BF5"/>
    <w:rsid w:val="00FE7C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DF48BB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rsid w:val="00DF48BB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DF48BB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DF48BB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DF48BB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DF48BB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DF48BB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DF48BB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DF48BB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DF48BB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rsid w:val="00DF48BB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rsid w:val="00DF48BB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DF48BB"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basedOn w:val="Domylnaczcionkaakapitu"/>
    <w:semiHidden/>
    <w:rsid w:val="00DF48BB"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styleId="Hipercze">
    <w:name w:val="Hyperlink"/>
    <w:basedOn w:val="Domylnaczcionkaakapitu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dymka">
    <w:name w:val="Balloon Text"/>
    <w:basedOn w:val="Normalny"/>
    <w:link w:val="TekstdymkaZnak"/>
    <w:rsid w:val="00BA7BD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BA7BD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gddkia.gov.pl/userfiles/articles/s/specyfikacja_13123/III/wytyczne_pieszo_rowerowe%20v12.pdf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7</TotalTime>
  <Pages>11</Pages>
  <Words>3033</Words>
  <Characters>18199</Characters>
  <Application>Microsoft Office Word</Application>
  <DocSecurity>0</DocSecurity>
  <Lines>151</Lines>
  <Paragraphs>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Wymagania ogólne, D-M-00.00.00</vt:lpstr>
    </vt:vector>
  </TitlesOfParts>
  <Company>Warszawa      Skaryszewska 19</Company>
  <LinksUpToDate>false</LinksUpToDate>
  <CharactersWithSpaces>21190</CharactersWithSpaces>
  <SharedDoc>false</SharedDoc>
  <HLinks>
    <vt:vector size="72" baseType="variant">
      <vt:variant>
        <vt:i4>6815748</vt:i4>
      </vt:variant>
      <vt:variant>
        <vt:i4>69</vt:i4>
      </vt:variant>
      <vt:variant>
        <vt:i4>0</vt:i4>
      </vt:variant>
      <vt:variant>
        <vt:i4>5</vt:i4>
      </vt:variant>
      <vt:variant>
        <vt:lpwstr>http://www.gddkia.gov.pl/userfiles/articles/s/specyfikacja_13123/III/wytyczne_pieszo_rowerowe v12.pdf</vt:lpwstr>
      </vt:variant>
      <vt:variant>
        <vt:lpwstr/>
      </vt:variant>
      <vt:variant>
        <vt:i4>1769531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_Toc344981403</vt:lpwstr>
      </vt:variant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Ciąg ;pieszo-rowerowy</dc:title>
  <dc:subject>ost</dc:subject>
  <dc:creator>BZDBDiM Sp. z o.o.</dc:creator>
  <cp:keywords>specyfikacje, drogi, drogownictwo, ost, D-M-00.00.00</cp:keywords>
  <cp:lastModifiedBy>ANGELIKA</cp:lastModifiedBy>
  <cp:revision>4</cp:revision>
  <cp:lastPrinted>2017-08-11T09:22:00Z</cp:lastPrinted>
  <dcterms:created xsi:type="dcterms:W3CDTF">2021-11-14T11:29:00Z</dcterms:created>
  <dcterms:modified xsi:type="dcterms:W3CDTF">2021-11-15T14:12:00Z</dcterms:modified>
</cp:coreProperties>
</file>