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A1" w:rsidRPr="009054A1" w:rsidRDefault="009054A1" w:rsidP="009054A1">
      <w:pPr>
        <w:overflowPunct w:val="0"/>
        <w:adjustRightInd w:val="0"/>
        <w:ind w:left="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bookmarkStart w:id="0" w:name="_Toc404150096"/>
      <w:bookmarkStart w:id="1" w:name="_Toc416830698"/>
      <w:bookmarkStart w:id="2" w:name="_Toc219531212"/>
      <w:r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SST  </w:t>
      </w:r>
      <w:r w:rsidRPr="009054A1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D – 10.03.01a</w:t>
      </w:r>
    </w:p>
    <w:p w:rsidR="009054A1" w:rsidRPr="009054A1" w:rsidRDefault="009054A1" w:rsidP="009054A1">
      <w:pPr>
        <w:overflowPunct w:val="0"/>
        <w:adjustRightInd w:val="0"/>
        <w:ind w:left="0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ind w:left="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NAWIERZCHNIA  Z  PREFABRYKOWANYCH </w:t>
      </w:r>
      <w:r w:rsidR="0025423D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</w:t>
      </w:r>
      <w:r w:rsidRPr="009054A1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ŻELBETOWYCH  PŁYT  </w:t>
      </w:r>
      <w:r w:rsidR="0025423D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</w:t>
      </w:r>
      <w:r w:rsidRPr="009054A1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WIELOOTWOROWYCH</w:t>
      </w:r>
    </w:p>
    <w:p w:rsidR="009054A1" w:rsidRPr="009054A1" w:rsidRDefault="009054A1" w:rsidP="009054A1">
      <w:pPr>
        <w:overflowPunct w:val="0"/>
        <w:adjustRightInd w:val="0"/>
        <w:ind w:left="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(TYPU  IOMB)</w:t>
      </w:r>
    </w:p>
    <w:p w:rsidR="009054A1" w:rsidRPr="009054A1" w:rsidRDefault="009054A1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1. </w:t>
      </w:r>
      <w:r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  </w:t>
      </w: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WSTĘP</w:t>
      </w:r>
      <w:bookmarkEnd w:id="0"/>
      <w:bookmarkEnd w:id="1"/>
      <w:bookmarkEnd w:id="2"/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" w:name="_Toc405615031"/>
      <w:bookmarkStart w:id="4" w:name="_Toc407161179"/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1.1. Przedmiot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</w:t>
      </w: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  <w:bookmarkEnd w:id="3"/>
      <w:bookmarkEnd w:id="4"/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Przedmiotem niniejszej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szczegółowej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specyfikacji technicznej (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ST) są wymagania dotyczące wykonania i odbioru robót związanych z budową nawierzchni z prefabrykowanych żelbetowych płyt wielootworowych wielkowymiarowych.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5" w:name="_Toc405615032"/>
      <w:bookmarkStart w:id="6" w:name="_Toc407161180"/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1.2. Zakres stosowania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</w:t>
      </w: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  <w:bookmarkEnd w:id="5"/>
      <w:bookmarkEnd w:id="6"/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Niniejsza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specyfikacja techniczna (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ST) jest dokument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em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przetargowy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kontraktowy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przy zlecaniu i realizacji robót na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związanych z przebudową ul. Buczka w Sławnie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7" w:name="_Toc405615033"/>
      <w:bookmarkStart w:id="8" w:name="_Toc407161181"/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1.3. Zakres robót objętych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</w:t>
      </w: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  <w:bookmarkEnd w:id="7"/>
      <w:bookmarkEnd w:id="8"/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Ustalenia zawarte w niniejszej specyfikacji dotyczą zasad prowadzenia robót związanych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wykonaniem i odbiorem nawierzchni z prefabrykowanych żelbetowych płyt wielootworowych (dawniej nazywanych płytami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OMB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 w ramach realizacji inwestycji jak w  1.2.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1.4.1.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Prefabrykowana żelbetowa płyta wielootworowa – drogowy element żelbetowy, w postaci prostokątnej płyty z otworami, służący do budowy nawierzchni (dawniej element taki nazywano płytą IOMB).</w:t>
      </w:r>
    </w:p>
    <w:p w:rsidR="009054A1" w:rsidRPr="009054A1" w:rsidRDefault="009054A1" w:rsidP="009054A1">
      <w:pPr>
        <w:overflowPunct w:val="0"/>
        <w:adjustRightInd w:val="0"/>
        <w:spacing w:before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1.4.2.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Nawierzchnia z prefabrykowanych żelbetowych płyt wielootworowych – nawierzchnia z płyt drogowych żelbetowych wielootworowych, przeznaczona do ruchu lub postoju pojazdów.</w:t>
      </w:r>
    </w:p>
    <w:p w:rsidR="009054A1" w:rsidRPr="009054A1" w:rsidRDefault="009054A1" w:rsidP="009054A1">
      <w:pPr>
        <w:overflowPunct w:val="0"/>
        <w:adjustRightInd w:val="0"/>
        <w:spacing w:before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1.4.3.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Szczelina w nawierzchni – szczelina pomiędzy żelbetowymi płytami nawierzchniowymi, zwykle wypełniona piaskiem.</w:t>
      </w:r>
    </w:p>
    <w:p w:rsidR="009054A1" w:rsidRPr="009054A1" w:rsidRDefault="009054A1" w:rsidP="009054A1">
      <w:pPr>
        <w:overflowPunct w:val="0"/>
        <w:adjustRightInd w:val="0"/>
        <w:spacing w:before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1.4.4.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System pasowy układania płyt – ułożenie dwóch pasów pojedynczych płyt, umożliwiających poruszanie się tylko po nich kół samochodów (patrz rys. 2a, b).</w:t>
      </w:r>
    </w:p>
    <w:p w:rsidR="009054A1" w:rsidRPr="009054A1" w:rsidRDefault="009054A1" w:rsidP="009054A1">
      <w:pPr>
        <w:overflowPunct w:val="0"/>
        <w:adjustRightInd w:val="0"/>
        <w:spacing w:before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1.4.5.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System płatowy układania płyt –</w:t>
      </w: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ułożenie płyt na pełnej szerokości projektowanej jezdni (patrz rys. 2c, d i rys. 3).</w:t>
      </w:r>
    </w:p>
    <w:p w:rsidR="009054A1" w:rsidRPr="009054A1" w:rsidRDefault="009054A1" w:rsidP="009054A1">
      <w:pPr>
        <w:overflowPunct w:val="0"/>
        <w:adjustRightInd w:val="0"/>
        <w:spacing w:before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1.4.6.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Pozostałe określenia podstawowe są zgodne z obowiązującymi, odpowiednimi polskimi normami i z definicjami podanymi w </w:t>
      </w:r>
      <w:r w:rsidR="000F3C1B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ST D-M-00.00.00 „Wymagania ogólne” [1] pkt 1.4.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1.5. Ogólne wymagania dotyczące robót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Ogólne wymagania dotyczące robót podano w </w:t>
      </w:r>
      <w:r w:rsidR="000F3C1B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ST D-M-00.00.00 „Wymagania ogólne” [1] pkt 1.5.</w:t>
      </w:r>
    </w:p>
    <w:p w:rsidR="000F3C1B" w:rsidRDefault="000F3C1B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9" w:name="_Toc431184075"/>
      <w:bookmarkStart w:id="10" w:name="_Toc208892382"/>
      <w:bookmarkStart w:id="11" w:name="_Toc210107778"/>
      <w:bookmarkStart w:id="12" w:name="_Toc219531213"/>
    </w:p>
    <w:p w:rsidR="009054A1" w:rsidRPr="009054A1" w:rsidRDefault="009054A1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2. </w:t>
      </w:r>
      <w:r w:rsidR="000F3C1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  </w:t>
      </w: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MATERIAŁY</w:t>
      </w:r>
      <w:bookmarkEnd w:id="9"/>
      <w:bookmarkEnd w:id="10"/>
      <w:bookmarkEnd w:id="11"/>
      <w:bookmarkEnd w:id="12"/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Ogólne wymagania dotyczące materiałów, ich pozyskiwania i składowania, podano w </w:t>
      </w:r>
      <w:r w:rsidR="000F3C1B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ST D-M-00.00.00 „Wymagania ogólne” [1] pkt 2.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Materiały do wykonania robót</w:t>
      </w:r>
    </w:p>
    <w:p w:rsidR="009054A1" w:rsidRPr="009054A1" w:rsidRDefault="009054A1" w:rsidP="009054A1">
      <w:pPr>
        <w:overflowPunct w:val="0"/>
        <w:adjustRightInd w:val="0"/>
        <w:spacing w:after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2.2.1.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Zgodność materiałów z dokumentacją projektową i aprobatą techniczną</w:t>
      </w:r>
    </w:p>
    <w:p w:rsidR="009054A1" w:rsidRPr="009054A1" w:rsidRDefault="009054A1" w:rsidP="009054A1">
      <w:pPr>
        <w:overflowPunct w:val="0"/>
        <w:adjustRightInd w:val="0"/>
        <w:spacing w:after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Materiały do wykonania robót powinny być zgodne z ustaleniami dokumentacji projektowej lub ST oraz z aprobatą techniczną uprawnionej jednostki.</w:t>
      </w:r>
    </w:p>
    <w:p w:rsidR="009054A1" w:rsidRPr="009054A1" w:rsidRDefault="009054A1" w:rsidP="009054A1">
      <w:pPr>
        <w:overflowPunct w:val="0"/>
        <w:adjustRightInd w:val="0"/>
        <w:spacing w:after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2.2.2.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Rodzaje materiałów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Materiałami stosowanymi przy wykonywaniu nawierzchni z żelbetowych płyt, objętych niniejszą OST, są: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prefabrykowane żelbetowe płyty wielootworowe,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 na podsypkę i do wypełnienia szczelin,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ewentualne krawężniki,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woda,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ew. inne materiały</w:t>
      </w:r>
      <w:r w:rsidR="000F3C1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–  wypełnienie warstwą kruszywa łamanego o uziarnieniu ciągłym stabilizowanego mechanicznie gr. 12 cm  płyt układanych pasowo ( 2 x pobocze szer. 0,5 m  +  „środek”  szer.  1,0 m ).</w:t>
      </w:r>
    </w:p>
    <w:p w:rsidR="009054A1" w:rsidRPr="009054A1" w:rsidRDefault="009054A1" w:rsidP="009054A1">
      <w:pPr>
        <w:overflowPunct w:val="0"/>
        <w:adjustRightInd w:val="0"/>
        <w:spacing w:before="120" w:after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2.2.3.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Żelbetowe płyty wielootworowe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Prefabrykowane żelbetowe płyty wielootworowe powinny mieć wymiary zgodne z ustaleniem dokumentacji projektowej, np. 100×75×12,5 cm, 75×50×10 cm, 75×50×7 cm.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Jeśli dokumentacja projektowa nie podaje szczegółów dotyczących kształtu i rozwiązań technicznych płyt, wówczas Wykonawca proponuje typ płyty (np. wg rys. 1), przedstawiając go do aprobaty Inżyniera. Zaakceptowany typ płyty powinien mieć aprobatę techniczną uprawnionej jednostki.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Powierzchnia płyt powinna być równa bez raków, pęknięć, rys i wyłupań. Dopuszczalne są drobne wgłębienia i wypukłości o głębokości lub wysokości do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5 m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mm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Beton, z którego wykonana jest płyta, powinien spełniać wymagania dla klasy wytrzymałości minimum C20/25 wg PN-EN 206-1:2003 [6] i PN-B-06265:2004 [8].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Krawędzie płyt powinny być proste i wzajemnie równoległe. Dopuszczalne są drobne odpryski i wyszczerbienia krawędzi o głębokości i szerokości do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5 m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mm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długości do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20 m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20 mm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liczbie 2 szt. na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1 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płyty, przy czym na jednej krawędzi powierzchni górnej nie może być więcej niż 3 wyszczerbienia, a na powierzchni dolnej nie więcej niż 4 wyszczerbienia. Zwichrowanie krawędzi powierzchni górnej i dolnej nie powinno przekraczać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3 m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 mm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1 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długości płyty.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Powierzchnie boczne płyty powinny być wolne od pęknięć, rys, wgłębień i wypukłości.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Odchyłka od wymiarów nominalnych powinna wynosić: długości ±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3 m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 mm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szerokości ±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3 m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 mm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grubości ±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3 m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 mm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. Nasiąkliwość powinna wynosić ≤ 6%, a stopień mrozoodporności ≥ F 150.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Płyty mogą być przechowywane na wolnym powietrzu. Można je układać w stosach, powierzchnią jezdną zwróconą do góry, w siedmiu warstwach na paletach, do wysokości trzech palet.</w:t>
      </w:r>
    </w:p>
    <w:p w:rsidR="009054A1" w:rsidRPr="009054A1" w:rsidRDefault="009054A1" w:rsidP="009054A1">
      <w:pPr>
        <w:overflowPunct w:val="0"/>
        <w:adjustRightInd w:val="0"/>
        <w:spacing w:before="120" w:after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2.2.4.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 na podsypkę i do wypełnienia szczelin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Jeśli dokumentacja projektowa lub ST nie ustala inaczej, to na podsypkę i do wypełniania szczelin można stosować piasek odpowiadający wymaganiom PN-EN 13242:2004 [7].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Inne materiały, np. żużel, pospółkę, można stosować pod warunkiem akceptacji Inżyniera.</w:t>
      </w:r>
    </w:p>
    <w:p w:rsid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Składowanie materiału powinno się odbywać na podłożu równym, utwardzonym i odwodnionym, przy zabezpieczeniu materiału przed zanieczyszczeniem i zmieszaniem z innymi materiałami.</w:t>
      </w:r>
      <w:r w:rsidR="000F3C1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Wykonać wg SST D-04.02.01/01.</w:t>
      </w:r>
    </w:p>
    <w:p w:rsidR="009054A1" w:rsidRPr="009054A1" w:rsidRDefault="009054A1" w:rsidP="009054A1">
      <w:pPr>
        <w:tabs>
          <w:tab w:val="left" w:pos="851"/>
        </w:tabs>
        <w:overflowPunct w:val="0"/>
        <w:adjustRightInd w:val="0"/>
        <w:spacing w:before="120" w:after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2.2.5.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Woda</w:t>
      </w:r>
    </w:p>
    <w:p w:rsidR="009054A1" w:rsidRPr="009054A1" w:rsidRDefault="009054A1" w:rsidP="009054A1">
      <w:pPr>
        <w:tabs>
          <w:tab w:val="left" w:pos="709"/>
        </w:tabs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 stosować, przy zagęszczaniu podsypki, każdą czystą wodę z rzek, jezior, stawów i innych zbiorników otwartych oraz wodę studzienną i wodociągową.</w:t>
      </w:r>
    </w:p>
    <w:p w:rsidR="009054A1" w:rsidRPr="009054A1" w:rsidRDefault="009054A1" w:rsidP="009054A1">
      <w:pPr>
        <w:tabs>
          <w:tab w:val="left" w:pos="709"/>
        </w:tabs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 należy stosować wody z widocznymi zanieczyszczeniami, np. śmieciami, roślinnością wodną, odpadami przemysłowymi, kanalizacyjnymi itp.</w:t>
      </w:r>
    </w:p>
    <w:p w:rsidR="009054A1" w:rsidRDefault="009054A1" w:rsidP="009054A1">
      <w:pPr>
        <w:tabs>
          <w:tab w:val="left" w:pos="709"/>
        </w:tabs>
        <w:overflowPunct w:val="0"/>
        <w:adjustRightInd w:val="0"/>
        <w:spacing w:before="120" w:after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2.2.6.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Inne materiały</w:t>
      </w:r>
    </w:p>
    <w:p w:rsidR="000F3C1B" w:rsidRPr="009054A1" w:rsidRDefault="000F3C1B" w:rsidP="009054A1">
      <w:pPr>
        <w:tabs>
          <w:tab w:val="left" w:pos="709"/>
        </w:tabs>
        <w:overflowPunct w:val="0"/>
        <w:adjustRightInd w:val="0"/>
        <w:spacing w:before="120" w:after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Pobocze i środkowy pas pomiędzy płytami wykonać z kruszywa łamanego jak w 2.2.2.  –  wykonać wg SST D-04.04.02.</w:t>
      </w:r>
    </w:p>
    <w:p w:rsidR="009054A1" w:rsidRPr="009054A1" w:rsidRDefault="009054A1" w:rsidP="009054A1">
      <w:pPr>
        <w:tabs>
          <w:tab w:val="left" w:pos="709"/>
        </w:tabs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przypadku występowania w dokumentacji technicznej innych materiałów, najczęściej krawężników, to powinny one odpowiadać wymaganiom OST D-08.01.01b [4] lub D-08.01.02a [5] i powinny być ujęte w innych pozycjach kosztorysowych.</w:t>
      </w:r>
    </w:p>
    <w:p w:rsidR="000F3C1B" w:rsidRDefault="000F3C1B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3" w:name="_Toc428239274"/>
      <w:bookmarkStart w:id="14" w:name="_Toc428759423"/>
      <w:bookmarkStart w:id="15" w:name="_Toc141496949"/>
      <w:bookmarkStart w:id="16" w:name="_Toc219531214"/>
    </w:p>
    <w:p w:rsidR="009054A1" w:rsidRPr="009054A1" w:rsidRDefault="009054A1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</w:t>
      </w:r>
      <w:r w:rsidR="000F3C1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  </w:t>
      </w: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SPRZĘT</w:t>
      </w:r>
      <w:bookmarkEnd w:id="13"/>
      <w:bookmarkEnd w:id="14"/>
      <w:bookmarkEnd w:id="15"/>
      <w:bookmarkEnd w:id="16"/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9054A1" w:rsidRPr="009054A1" w:rsidRDefault="009054A1" w:rsidP="009054A1">
      <w:pPr>
        <w:tabs>
          <w:tab w:val="right" w:leader="dot" w:pos="-1985"/>
          <w:tab w:val="left" w:pos="284"/>
        </w:tabs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Ogólne wymagania dotyczące sprzętu podano w </w:t>
      </w:r>
      <w:r w:rsidR="000F3C1B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ST D-M-00.00.00 „Wymagania ogólne” [1] pkt 3.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stosowany do wykonania robót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Przy wykonywaniu robót Wykonawca w zależności od potrzeb, powinien wykazać się możliwością korzystania ze sprzętu dostosowanego do przyjętej metody robót, jak: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żurawie samochodowe lub samojezdne,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walce ogumione,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wibratory płytowe,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ubijaki,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zbiorniki na wodę,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równiarki, koparki, ew. spycharki,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 transportowy.</w:t>
      </w:r>
    </w:p>
    <w:p w:rsidR="009054A1" w:rsidRPr="009054A1" w:rsidRDefault="009054A1" w:rsidP="009054A1">
      <w:pPr>
        <w:overflowPunct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 powinien odpowiadać wymaganiom określonym w dokumentacji projektowej, ST, instrukcjach producentów lub propozycji Wykonawcy i powinien być zaakceptowany przez Inżyniera.</w:t>
      </w:r>
    </w:p>
    <w:p w:rsidR="000F3C1B" w:rsidRDefault="000F3C1B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7" w:name="_4._TRANSPORT"/>
      <w:bookmarkStart w:id="18" w:name="_Toc428239275"/>
      <w:bookmarkStart w:id="19" w:name="_Toc428759424"/>
      <w:bookmarkStart w:id="20" w:name="_Toc141496950"/>
      <w:bookmarkStart w:id="21" w:name="_Toc219531215"/>
      <w:bookmarkEnd w:id="17"/>
    </w:p>
    <w:p w:rsidR="009054A1" w:rsidRPr="009054A1" w:rsidRDefault="009054A1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4. </w:t>
      </w:r>
      <w:r w:rsidR="000F3C1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 </w:t>
      </w: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TRANSPORT</w:t>
      </w:r>
      <w:bookmarkEnd w:id="18"/>
      <w:bookmarkEnd w:id="19"/>
      <w:bookmarkEnd w:id="20"/>
      <w:bookmarkEnd w:id="21"/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</w:p>
    <w:p w:rsidR="009054A1" w:rsidRPr="009054A1" w:rsidRDefault="009054A1" w:rsidP="009054A1">
      <w:pPr>
        <w:tabs>
          <w:tab w:val="right" w:leader="dot" w:pos="-1985"/>
          <w:tab w:val="left" w:pos="284"/>
        </w:tabs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transportu podano w </w:t>
      </w:r>
      <w:r w:rsidR="000F3C1B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ST D-M-00.00.00 „Wymagania ogólne” [1] pkt 4.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materiałów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Materiały sypkie (piasek) można przewozić dowolnymi środkami transportu, w warunkach zabezpieczających je przed zanieczyszczeniem, zmieszaniem z innymi materiałami i nadmiernym zawilgoceniem.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Płyty nawierzchniowe można przewozić pojazdami otwartymi. Płyty można układać na drewnianych paletach w liczbie siedmiu sztuk spiętych taśmą polipropylenową zbrojoną dodatkowo w miejscu styku taśmy z płytą podkładkami z tworzywa sztucznego, aby zapobiec ewentualnemu przetarciu. Załadunku płyt na samochód dokonuje się przy pomocy lekkich żurawi lub wózków widłowych. W szczególnych przypadkach płyty można ładować ręcznie przy zastosowaniu pochylni.</w:t>
      </w:r>
    </w:p>
    <w:p w:rsidR="000F3C1B" w:rsidRDefault="000F3C1B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2" w:name="_Toc421940500"/>
      <w:bookmarkStart w:id="23" w:name="_Toc18217006"/>
      <w:bookmarkStart w:id="24" w:name="_Toc30219220"/>
      <w:bookmarkStart w:id="25" w:name="_Toc33319443"/>
      <w:bookmarkStart w:id="26" w:name="_Toc33320735"/>
      <w:bookmarkStart w:id="27" w:name="_Toc38338024"/>
      <w:bookmarkStart w:id="28" w:name="_Toc68660265"/>
      <w:bookmarkStart w:id="29" w:name="_Toc68921160"/>
      <w:bookmarkStart w:id="30" w:name="_Toc68929547"/>
      <w:bookmarkStart w:id="31" w:name="_Toc70745915"/>
      <w:bookmarkStart w:id="32" w:name="_Toc113338101"/>
      <w:bookmarkStart w:id="33" w:name="_Toc124213277"/>
      <w:bookmarkStart w:id="34" w:name="_Toc144694239"/>
      <w:bookmarkStart w:id="35" w:name="_Toc199904823"/>
      <w:bookmarkStart w:id="36" w:name="_Toc219531216"/>
    </w:p>
    <w:p w:rsidR="009054A1" w:rsidRPr="009054A1" w:rsidRDefault="009054A1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5. 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="000F3C1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  </w:t>
      </w: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WYKONANIE </w:t>
      </w:r>
      <w:r w:rsidR="000F3C1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</w:t>
      </w: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ROBÓT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wykonania robót podano w </w:t>
      </w:r>
      <w:r w:rsidR="000F3C1B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ST D-M-00.00.00 „Wymagania ogólne” [1] pkt 5.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Zasady wykonywania robót</w:t>
      </w:r>
    </w:p>
    <w:p w:rsidR="009054A1" w:rsidRPr="009054A1" w:rsidRDefault="009054A1" w:rsidP="009054A1">
      <w:pPr>
        <w:overflowPunct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wykonania robót powinien być zgodny z dokumentacją projektową i ST. W przypadku braku wystarczających danych można korzystać z ustaleń podanych w niniejszej specyfikacji oraz z informacji podanych w załącznikach.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Podstawowe czynności przy wykonywaniu robót obejmują: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 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roboty przygotowawcze, 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 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przygotowanie podłoża,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3. 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ułożenie nawierzchni z płyt,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4. 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wykończeniowe.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Roboty przygotowawcze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należy, na podstawie dokumentacji projektowej,  ST lub wskazań Inżyniera:</w:t>
      </w:r>
    </w:p>
    <w:p w:rsidR="009054A1" w:rsidRPr="009054A1" w:rsidRDefault="009054A1" w:rsidP="009054A1">
      <w:pPr>
        <w:tabs>
          <w:tab w:val="num" w:pos="284"/>
        </w:tabs>
        <w:overflowPunct w:val="0"/>
        <w:adjustRightInd w:val="0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ustalić lokalizację terenu robót,</w:t>
      </w:r>
    </w:p>
    <w:p w:rsidR="009054A1" w:rsidRPr="009054A1" w:rsidRDefault="009054A1" w:rsidP="009054A1">
      <w:pPr>
        <w:tabs>
          <w:tab w:val="num" w:pos="284"/>
        </w:tabs>
        <w:overflowPunct w:val="0"/>
        <w:adjustRightInd w:val="0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przeprowadzić obliczenia i pomiary geodezyjne niezbędne do szczegółowego wytyczenia robót oraz ustalenia danych wysokościowych,</w:t>
      </w:r>
    </w:p>
    <w:p w:rsidR="009054A1" w:rsidRPr="009054A1" w:rsidRDefault="009054A1" w:rsidP="009054A1">
      <w:pPr>
        <w:tabs>
          <w:tab w:val="num" w:pos="284"/>
        </w:tabs>
        <w:overflowPunct w:val="0"/>
        <w:adjustRightInd w:val="0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usunąć przeszkody, np. drzewa, krzaki, obiekty, elementy dróg, ogrodzeń itd.,</w:t>
      </w:r>
    </w:p>
    <w:p w:rsidR="009054A1" w:rsidRPr="009054A1" w:rsidRDefault="009054A1" w:rsidP="009054A1">
      <w:pPr>
        <w:tabs>
          <w:tab w:val="num" w:pos="284"/>
        </w:tabs>
        <w:overflowPunct w:val="0"/>
        <w:adjustRightInd w:val="0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zgromadzić wszystkie materiały potrzebne do robót.</w:t>
      </w:r>
    </w:p>
    <w:p w:rsidR="009054A1" w:rsidRPr="009054A1" w:rsidRDefault="009054A1" w:rsidP="009054A1">
      <w:pPr>
        <w:overflowPunct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Zaleca się korzystanie z ustaleń </w:t>
      </w:r>
      <w:r w:rsidR="000F3C1B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 D-01.00.00 [2] w zakresie niezbędnym do wykonania robót przygotowawczych oraz z ustaleń </w:t>
      </w:r>
      <w:r w:rsidR="000F3C1B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ST D-02.00.00 [3] przy występowaniu robót ziemnych.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5.4. Przygotowanie podłoża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Koryto pod nawierzchnię zaleca się wykonywać bezpośrednio przed rozpoczęciem robót nawierzchniowych. Wcześniejsze wykonanie koryta jest możliwe za zgodą Inżyniera, w korzystnych warunkach atmosferycznych.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Koryto można wykonywać ręcznie lub mechanicznie przy użyciu równiarek, koparek i spycharek. Grunt odspojony powinien być wykorzystany zgodnie z ustaleniami dokumentacji projektowej.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 oczyszczeniu wykonanego dna koryta ze wszelkich zanieczyszczeń, należy sprawdzić czy istniejące rzędne umożliwią uzyskanie, po profilowaniu, zaprojektowanych rzędnych podłoża. Zaleca się, aby rzędne koryta przed profilowaniem były o co najmniej            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5 c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wyższe niż projektowane rzędne podłoża. Jeżeli powyższy warunek nie jest spełniony i występują zaniżenia poziomu w podłożu to Wykonawca powinien spulchnić podłoże na głębokość zaakceptowaną przez Inżyniera, dowieźć dodatkowy grunt, spełniający wymagania obowiązujące dla górnej strefy korpusu, w ilości koniecznej do uzyskania wymaganych rzędnych wysokościowych i zagęścić warstwę do uzyskania wskaźnika zagęszczenia 1,00.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Profilowanie podłoża zaleca się wykonać równiarką. Ścięty grunt powinien być wykorzystany w sposób zaakceptowany przez Inżyniera. Po profilowaniu podłoża należy przystąpić do jego zagęszczania, które należy kontynuować do osiągnięcia wskaźnika zagęszczenia nie mniejszego od 1,00. Koryto po wyprofilowaniu i zagęszczeniu powinno być utrzymane w dobrym stanie.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Jeżeli po wykonaniu robót związanych z profilowaniem i zagęszczeniem podłoża nastąpi przerwa w robotach i Wykonawca nie przystąpi natychmiast do układania nawierzchni, to powinien on zabezpieczyć podłoże przed nadmiernym zawilgoceniem, na przykład przez rozłożenie folii lub w inny sposób zaakceptowany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przez Inżyniera. Jeżeli podłoże uległo nadmiernemu zawilgoceniu, to do układania nawierzchni można przystąpić dopiero po jego naturalnym osuszeniu.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 Podsypka i warstwa odsączająca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zależności od rodzaju gruntu w podłożu, przed położeniem płyt nawierzchniowych, można ułożyć w zależności od zaleceń dokumentacji projektowej: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10÷15 cm podsypki piaskowej na gruncie niepewnym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20÷25 cm warstwy odsączającej, na gruncie wysadzinowym,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3 cm, po zagęszczeniu, warstwy piaskowej wyrównawczej, na gruncie niewysadzinowym.</w:t>
      </w:r>
    </w:p>
    <w:p w:rsidR="009054A1" w:rsidRPr="009054A1" w:rsidRDefault="009054A1" w:rsidP="009054A1">
      <w:pPr>
        <w:overflowPunct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Piasek powinien być rozkładany przy użyciu równiarki, z zachowaniem wymaganych spadków i rzędnych wysokościowych. Grubość rozłożonej warstwy powinna być taka, aby po jej zagęszczeniu osiągnięto grubość projektowaną.</w:t>
      </w:r>
    </w:p>
    <w:p w:rsidR="009054A1" w:rsidRPr="009054A1" w:rsidRDefault="009054A1" w:rsidP="009054A1">
      <w:pPr>
        <w:overflowPunct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Natychmiast po końcowym wyprofilowaniu warstwy piaskowej należy przystąpić do jej zagęszczania, które należy rozpoczynać od krawędzi i przesuwać w kierunku osi drogi. W miejscach niedostępnych dla walców warstwę piaskową należy zagęszczać płytami wibracyjnymi i ubijakami mechanicznymi. Zagęszczanie należy kontynuować do osiągnięcia wskaźnika zagęszczenia nie mniejszego od 1,0 według normalnej próby Proctora. Wilgotność materiału podczas zagęszczania powinna być równa wilgotności optymalnej z tolerancją od -20% do +10% jej wartości.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5.6. Ułożenie nawierzchni z płyt prefabrykowanych</w:t>
      </w:r>
    </w:p>
    <w:p w:rsidR="009054A1" w:rsidRPr="009054A1" w:rsidRDefault="009054A1" w:rsidP="009054A1">
      <w:pPr>
        <w:overflowPunct w:val="0"/>
        <w:adjustRightInd w:val="0"/>
        <w:spacing w:after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5.6.1.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układania płyt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Sposób układania płyt powinien być zgodny z dokumentacją projektową, ST lub wskazaniami Inżyniera.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Rozróżnia się dwa podstawowe sposoby ułożenia płyt: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system pasowy, w którym płyty pokrywają tylko część pasa ruchu na nawierzchni, znajdując się w dwóch pasach szerokości 0,7÷1,0 m, położonych w odległości około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0,7 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0,7 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 siebie, tak aby mogły się po nich poruszać koła pojazdów (przykłady na rys. 2a, b i rys. 4),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system płatowy, w którym płyty układa się na całej szerokości pasa ruchu (przykłady na rys. 2c, d i rys. 3).</w:t>
      </w:r>
    </w:p>
    <w:p w:rsidR="009054A1" w:rsidRPr="009054A1" w:rsidRDefault="009054A1" w:rsidP="009054A1">
      <w:pPr>
        <w:overflowPunct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Na łukach o promieniach większych (np. &gt;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250 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250 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) układy płyt są takie same jak na odcinkach prostych. Krzywiznę ułożonych płyt można uzyskać przez rozszerzenie szczelin od strony zewnętrznej łuku.</w:t>
      </w:r>
    </w:p>
    <w:p w:rsidR="009054A1" w:rsidRPr="009054A1" w:rsidRDefault="009054A1" w:rsidP="009054A1">
      <w:pPr>
        <w:overflowPunct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Na łukach o małych promieniach (np. &lt;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250 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250 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) nawierzchnię można ułożyć w systemie płatowym na całym odcinku łuku, układając ją rzędami płyt równoległych do jednej ze stycznych odcinka prostego (rys. 5). Szerokość pełnej nawierzchni na łuku należy dostosować do jego promienia i długości pojazdów, które będą jeździły po drodze.</w:t>
      </w:r>
    </w:p>
    <w:p w:rsidR="009054A1" w:rsidRPr="009054A1" w:rsidRDefault="009054A1" w:rsidP="009054A1">
      <w:pPr>
        <w:overflowPunct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Jeśli dokumentacja projektowa przewiduje mijanki przy drogach jednopasowych, wówczas można je wykonać z płyt nawierzchniowych, układając je równolegle do osi drogi poza pasem ruchu. Na odcinku wjazdu na mijankę i zjazdu z niej, w systemie pasowym układania płyt należy wypełnić nawierzchnią całą szerokość pasa ruchu.</w:t>
      </w:r>
    </w:p>
    <w:p w:rsidR="009054A1" w:rsidRPr="009054A1" w:rsidRDefault="009054A1" w:rsidP="009054A1">
      <w:pPr>
        <w:overflowPunct w:val="0"/>
        <w:adjustRightInd w:val="0"/>
        <w:spacing w:before="120" w:after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5.6.2.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Wykonanie nawierzchni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Układanie nawierzchni z płyt żelbetowych, na uprzednio przygotowanej podsypce piaskowej lub warstwie odsączającej, może odbywać się bezpośrednio ze środków transportowych lub z miejsca składowania, zwykle z pomocą żurawi samochodowych lub samojezdnych. Do podnoszenia płyt żurawiem mogą służyć zawiesia czterohakowe.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Można stosować też ręczne układanie płyt o mniejszych wymiarach, przy pomocy pochylni ze środka transportowego, po której płyty zsuwane są bezpośrednio na miejsce ułożenia nawierzchni. Ten typ montażu wymaga zaostrzonych wymogów bezpieczeństwa pracy.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Płyty żelbetowe należy układać tak, aby całą swoją powierzchnią przylegały do podłoża (podsypki, warstwy odsączającej). Powierzchnie płyt nie powinny wystawać lub być zagłębione względem siebie więcej niż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8 m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8 mm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Jeśli dokumentacja projektowa zakłada zabezpieczenie przed klawiszowaniem mniejszych sąsiadujących płyt, to poszczególne płyty można łączyć ze sobą od czoła stalowymi prętami o średnicy około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14 m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14 mm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długości około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30 c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30 cm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wkładanymi do przygotowanych w tym celu otworów w płytach.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Jeśli dokumentacja projektowa przewiduje obramowanie nawierzchni krawężnikiem, to należy wykonać je według wymagań OST D-08.01.01b [4] lub D-08.01.02a [5].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Szerokość szczelin między płytami nie powinna być większa od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10 m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mm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. W celu zachowania równej szerokości szczelin, można stosować międzydystansowe wkładki międzypłytowe.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 ułożeniu nawierzchni, szczeliny wypełnia się przez zamulenie piaskiem na pełną grubość płyt. Zaleca się, aby piasek użyty do wypełnienia szczelin zawierał od 3 do 8% frakcji mniejszej od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0,05 m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0,05 mm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. Dopuszcza się zastosowanie innego materiału do wypełnienia szczelin, np. drobnego żwiru, piasku kwarcowego itp.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5.7. Roboty wykończeniowe</w:t>
      </w:r>
    </w:p>
    <w:p w:rsidR="009054A1" w:rsidRPr="009054A1" w:rsidRDefault="009054A1" w:rsidP="009054A1">
      <w:pPr>
        <w:overflowPunct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wykończeniowe powinny być zgodne z dokumentacją projektową i ST. Do robót wykończeniowych należą prace związane z dostosowaniem wykonanych robót do istniejących warunków terenowych, takie jak: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lastRenderedPageBreak/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odtworzenie przeszkód czasowo usuniętych, 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oczyszczenie terenu robót z odpadów i usunięcie ich poza plac budowy,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niezbędne uzupełnienia zniszczonej w czasie robót roślinności, tj. zatrawienia, krzewów, ew. drzew,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porządkujące otoczenie terenu robót.</w:t>
      </w:r>
    </w:p>
    <w:p w:rsidR="000F3C1B" w:rsidRDefault="000F3C1B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7" w:name="_Toc421940501"/>
      <w:bookmarkStart w:id="38" w:name="_Toc24955913"/>
      <w:bookmarkStart w:id="39" w:name="_Toc25128887"/>
      <w:bookmarkStart w:id="40" w:name="_Toc25373385"/>
      <w:bookmarkStart w:id="41" w:name="_Toc25379401"/>
      <w:bookmarkStart w:id="42" w:name="_Toc174333138"/>
      <w:bookmarkStart w:id="43" w:name="_Toc179183771"/>
      <w:bookmarkStart w:id="44" w:name="_Toc198436140"/>
      <w:bookmarkStart w:id="45" w:name="_Toc199904824"/>
      <w:bookmarkStart w:id="46" w:name="_Toc219531217"/>
    </w:p>
    <w:p w:rsidR="009054A1" w:rsidRPr="009054A1" w:rsidRDefault="009054A1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6. 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 w:rsidR="000F3C1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  </w:t>
      </w: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KONTROLA</w:t>
      </w:r>
      <w:r w:rsidR="000F3C1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</w:t>
      </w: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JAKOŚCI </w:t>
      </w:r>
      <w:r w:rsidR="000F3C1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</w:t>
      </w: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ROBÓT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  D-M-00.00.00 „Wymagania ogólne” [1] pkt 6.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przed przystąpieniem do robót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powinien: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ew. wykonać własne badania właściwości materiałów przeznaczonych do wykonania robót, określone przez Inżyniera,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sprawdzić cechy zewnętrzne gotowych materiałów prefabrykowanych.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Wszystkie dokumenty oraz wyniki badań Wykonawca przedstawia Inżynierowi do akceptacji.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Badania w czasie robót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Częstotliwość oraz zakres badań i pomiarów, które należy wykonać w czasie robót podaje tablica 1. </w:t>
      </w:r>
    </w:p>
    <w:p w:rsidR="009054A1" w:rsidRPr="009054A1" w:rsidRDefault="009054A1" w:rsidP="009054A1">
      <w:pPr>
        <w:overflowPunct w:val="0"/>
        <w:adjustRightInd w:val="0"/>
        <w:spacing w:before="120" w:after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Częstotliwość oraz zakres badań i pomiarów w czasie robót</w:t>
      </w:r>
    </w:p>
    <w:tbl>
      <w:tblPr>
        <w:tblW w:w="75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6"/>
        <w:gridCol w:w="3543"/>
        <w:gridCol w:w="1276"/>
        <w:gridCol w:w="2268"/>
      </w:tblGrid>
      <w:tr w:rsidR="009054A1" w:rsidRPr="009054A1" w:rsidTr="009054A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180" w:after="6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180" w:after="6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 robót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Częstotliwość badań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180" w:after="6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 dopuszczalne</w:t>
            </w:r>
          </w:p>
        </w:tc>
      </w:tr>
      <w:tr w:rsidR="009054A1" w:rsidRPr="009054A1" w:rsidTr="009054A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Lokalizacja i zgodność granic terenu robót z dokumentacją projektową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raz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Wg pktu 5 i dokumentacji projektowej </w:t>
            </w:r>
          </w:p>
        </w:tc>
      </w:tr>
      <w:tr w:rsidR="009054A1" w:rsidRPr="009054A1" w:rsidTr="009054A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60" w:after="6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podłoża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Bieżąco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pktu 5.4</w:t>
            </w:r>
          </w:p>
        </w:tc>
      </w:tr>
      <w:tr w:rsidR="009054A1" w:rsidRPr="009054A1" w:rsidTr="009054A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60" w:after="6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Ułożenie podsypki i ew. ułożenie warstwy odsączającej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Bieżąco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pktu 5.5</w:t>
            </w:r>
          </w:p>
        </w:tc>
      </w:tr>
      <w:tr w:rsidR="009054A1" w:rsidRPr="009054A1" w:rsidTr="009054A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60" w:after="6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nawierzchni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Bieżąco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pktu 5.6</w:t>
            </w:r>
          </w:p>
        </w:tc>
      </w:tr>
      <w:tr w:rsidR="009054A1" w:rsidRPr="009054A1" w:rsidTr="009054A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60" w:after="6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robót wykończeniowych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 ciągła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pktu 5.7</w:t>
            </w:r>
          </w:p>
        </w:tc>
      </w:tr>
    </w:tbl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6.4. Badania po zakończeniu robót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Wykonana nawierzchnia z płyt prefabrykowanych powinna spełniać następujące wymagania: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 nawierzchni w planie nie powinna być przesunięta w stosunku do osi projektowanej więcej niż ±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10 c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cm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szerokość nawierzchni nie powinna się różnić od szerokości projektowanej więcej niż ±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10 c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cm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nierówności podłużne nawierzchni, mierzone łatą 4-metrową, nie powinny przekraczać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1 c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pochylenia poprzeczne nawierzchni powinny być zgodne z dokumentacją projektową z tolerancją ± 0,5%,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różnice wysokościowe z rzędnymi projektowanymi nie powinny przekraczać +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1 c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i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-2 c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-2 cm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0F3C1B" w:rsidRDefault="000F3C1B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7" w:name="_Toc421940502"/>
      <w:bookmarkStart w:id="48" w:name="_Toc24955914"/>
      <w:bookmarkStart w:id="49" w:name="_Toc25128888"/>
      <w:bookmarkStart w:id="50" w:name="_Toc25373386"/>
      <w:bookmarkStart w:id="51" w:name="_Toc25379402"/>
      <w:bookmarkStart w:id="52" w:name="_Toc174333139"/>
      <w:bookmarkStart w:id="53" w:name="_Toc179183772"/>
      <w:bookmarkStart w:id="54" w:name="_Toc198436141"/>
      <w:bookmarkStart w:id="55" w:name="_Toc199904825"/>
      <w:bookmarkStart w:id="56" w:name="_Toc219531218"/>
    </w:p>
    <w:p w:rsidR="009054A1" w:rsidRPr="009054A1" w:rsidRDefault="009054A1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7. 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="000F3C1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  </w:t>
      </w: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OBMIAR </w:t>
      </w:r>
      <w:r w:rsidR="000F3C1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</w:t>
      </w: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ROBÓT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 D-M-00.00.00 „Wymagania ogólne” [1] pkt 7.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</w:t>
      </w:r>
      <w:r w:rsidRPr="009054A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kwadratowy) wykonanej nawierzchni z płyt prefabrykowanych.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Jednostki obmiarowe robót towarzyszących, np. </w:t>
      </w:r>
      <w:r w:rsidR="0079122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wykonanie podsypki, </w:t>
      </w:r>
      <w:r w:rsidR="000F3C1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wykonania uzupełnień </w:t>
      </w:r>
      <w:r w:rsidR="0079122A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="000F3C1B">
        <w:rPr>
          <w:rFonts w:ascii="Times New Roman" w:eastAsia="Times New Roman" w:hAnsi="Times New Roman" w:cs="Times New Roman"/>
          <w:sz w:val="20"/>
          <w:szCs w:val="20"/>
          <w:lang w:eastAsia="pl-PL"/>
        </w:rPr>
        <w:t>z kruszywa łamanego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są ustalone w odpowiednich </w:t>
      </w:r>
      <w:r w:rsidR="000F3C1B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ST wymienionych w pkcie 5.</w:t>
      </w:r>
    </w:p>
    <w:p w:rsidR="000F3C1B" w:rsidRDefault="000F3C1B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57" w:name="_Toc421940503"/>
      <w:bookmarkStart w:id="58" w:name="_Toc24955915"/>
      <w:bookmarkStart w:id="59" w:name="_Toc25128889"/>
      <w:bookmarkStart w:id="60" w:name="_Toc25373387"/>
      <w:bookmarkStart w:id="61" w:name="_Toc25379403"/>
      <w:bookmarkStart w:id="62" w:name="_Toc174333140"/>
      <w:bookmarkStart w:id="63" w:name="_Toc179183773"/>
      <w:bookmarkStart w:id="64" w:name="_Toc198436142"/>
      <w:bookmarkStart w:id="65" w:name="_Toc199904826"/>
      <w:bookmarkStart w:id="66" w:name="_Toc219531219"/>
    </w:p>
    <w:p w:rsidR="009054A1" w:rsidRPr="009054A1" w:rsidRDefault="009054A1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8. 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0F3C1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  </w:t>
      </w: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ODBIÓR </w:t>
      </w:r>
      <w:r w:rsidR="000F3C1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</w:t>
      </w: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ROBÓT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8.1. Ogólne zasady odbioru robót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 D-M-00.00.00 „Wymagania ogólne” [1] pkt 8.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Roboty uznaje się za wykonane zgodnie z dokumentacją projektową, ST i wymaganiami Inżyniera, jeżeli wszystkie pomiary i badania z zachowaniem tolerancji według pktu 6 dały wyniki pozytywne.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8.2. Odbiór robót zanikających i ulegających  zakryciu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Odbiorowi robót zanikających i ulegających zakryciu podlegają: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ułożenie podsypki,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ew. ułożenie warstwy odsączającej.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Odbiór tych robót powinien  być zgodny z wymaganiami pktu 8.2 D-M-00.00.00 „Wymagania ogólne” [1] oraz niniejszej OST.</w:t>
      </w:r>
    </w:p>
    <w:p w:rsidR="000F3C1B" w:rsidRDefault="000F3C1B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67" w:name="_Toc421686551"/>
      <w:bookmarkStart w:id="68" w:name="_Toc421940504"/>
      <w:bookmarkStart w:id="69" w:name="_Toc24955916"/>
      <w:bookmarkStart w:id="70" w:name="_Toc25128890"/>
      <w:bookmarkStart w:id="71" w:name="_Toc25373388"/>
      <w:bookmarkStart w:id="72" w:name="_Toc25379404"/>
      <w:bookmarkStart w:id="73" w:name="_Toc174333141"/>
      <w:bookmarkStart w:id="74" w:name="_Toc179183774"/>
      <w:bookmarkStart w:id="75" w:name="_Toc198436143"/>
      <w:bookmarkStart w:id="76" w:name="_Toc199904827"/>
      <w:bookmarkStart w:id="77" w:name="_Toc219531220"/>
    </w:p>
    <w:p w:rsidR="009054A1" w:rsidRPr="009054A1" w:rsidRDefault="009054A1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9. 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r w:rsidR="000F3C1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  </w:t>
      </w: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PODSTAWA </w:t>
      </w:r>
      <w:r w:rsidR="000F3C1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</w:t>
      </w: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PŁATNOŚCI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„Wymagania ogólne” [1] pkt 9.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Cena wykonania 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1 m2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</w:t>
        </w:r>
        <w:r w:rsidRPr="009054A1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2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nawierzchni z płyt prefabrykowanych obejmuje: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oznakowanie robót,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przygotowanie  podłoża,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materiałów i sprzętu,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rozłożenie i zagęszczenie podsypki piaskowej,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ew. ułożenie warstwy odsączającej,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nawierzchni z płyt prefabrykowanych według wymagań dokumentacji projektowej, ST i specyfikacji technicznej,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oczyszczenie terenu robót z odpadów i usunięcie ich poza plac budowy,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 wymaganych w  specyfikacji technicznej,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odwiezienie sprzętu.</w:t>
      </w:r>
    </w:p>
    <w:p w:rsidR="009054A1" w:rsidRPr="009054A1" w:rsidRDefault="009054A1" w:rsidP="009054A1">
      <w:pPr>
        <w:overflowPunct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Cena wykonania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1 m2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</w:t>
        </w:r>
        <w:r w:rsidRPr="009054A1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2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nawierzchni z płyt nie obejmuje robót pomocniczych, np. ustawienia krawężników, które powinny być ujęte w innych pozycjach kosztorysowych.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9.3. Sposób rozliczenia robót tymczasowych i prac towarzyszących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wykonania robót określonych niniejszą OST obejmuje: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tymczasowe, które są potrzebne do wykonania robót podstawowych, ale nie są przekazywane Zamawiającemu i są usuwane po wykonaniu robót podstawowych,</w:t>
      </w:r>
    </w:p>
    <w:p w:rsidR="009054A1" w:rsidRPr="009054A1" w:rsidRDefault="009054A1" w:rsidP="009054A1">
      <w:pPr>
        <w:overflowPunct w:val="0"/>
        <w:adjustRightInd w:val="0"/>
        <w:ind w:left="283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Symbol" w:eastAsia="Symbol" w:hAnsi="Symbol" w:cs="Symbol"/>
          <w:sz w:val="20"/>
          <w:szCs w:val="20"/>
          <w:lang w:eastAsia="pl-PL"/>
        </w:rPr>
        <w:t></w:t>
      </w:r>
      <w:r w:rsidRPr="009054A1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towarzyszące, które są niezbędne do wykonania robót podstawowych, niezaliczane do robót tymczasowych, jak geodezyjne wytyczenie robót itd.</w:t>
      </w:r>
    </w:p>
    <w:p w:rsidR="000F3C1B" w:rsidRDefault="000F3C1B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78" w:name="_Toc24955917"/>
      <w:bookmarkStart w:id="79" w:name="_Toc25041751"/>
      <w:bookmarkStart w:id="80" w:name="_Toc25128891"/>
      <w:bookmarkStart w:id="81" w:name="_Toc25373389"/>
      <w:bookmarkStart w:id="82" w:name="_Toc25379405"/>
      <w:bookmarkStart w:id="83" w:name="_Toc174333142"/>
      <w:bookmarkStart w:id="84" w:name="_Toc179183775"/>
      <w:bookmarkStart w:id="85" w:name="_Toc198436144"/>
      <w:bookmarkStart w:id="86" w:name="_Toc199904828"/>
      <w:bookmarkStart w:id="87" w:name="_Toc219531221"/>
    </w:p>
    <w:p w:rsidR="009054A1" w:rsidRPr="009054A1" w:rsidRDefault="009054A1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10. 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 w:rsidR="000F3C1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  </w:t>
      </w: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PRZEPISY </w:t>
      </w:r>
      <w:r w:rsidR="000F3C1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</w:t>
      </w:r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ZWIĄZANE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10.1. </w:t>
      </w:r>
      <w:r w:rsidR="000F3C1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Szczegółowe</w:t>
      </w: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specyfikacje techniczne (</w:t>
      </w:r>
      <w:r w:rsidR="000F3C1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</w:t>
      </w: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ST)</w:t>
      </w:r>
      <w:r w:rsidR="000F3C1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wykonane dla „Przebudowy ulic  3 Maja  i  M. Buczka </w:t>
      </w:r>
      <w:r w:rsidR="000F3C1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  <w:t xml:space="preserve">         w Sławnie”, a mianowicie: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/>
      </w:tblPr>
      <w:tblGrid>
        <w:gridCol w:w="415"/>
        <w:gridCol w:w="1768"/>
        <w:gridCol w:w="6959"/>
      </w:tblGrid>
      <w:tr w:rsidR="009054A1" w:rsidRPr="009054A1" w:rsidTr="000F3C1B">
        <w:tc>
          <w:tcPr>
            <w:tcW w:w="415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68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D-M-00.00.00</w:t>
            </w:r>
          </w:p>
        </w:tc>
        <w:tc>
          <w:tcPr>
            <w:tcW w:w="6959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ogólne</w:t>
            </w:r>
          </w:p>
        </w:tc>
      </w:tr>
      <w:tr w:rsidR="000F3C1B" w:rsidRPr="009054A1" w:rsidTr="000F3C1B">
        <w:tc>
          <w:tcPr>
            <w:tcW w:w="415" w:type="dxa"/>
            <w:hideMark/>
          </w:tcPr>
          <w:p w:rsidR="000F3C1B" w:rsidRPr="009054A1" w:rsidRDefault="000F3C1B" w:rsidP="00BC34F4">
            <w:pPr>
              <w:overflowPunct w:val="0"/>
              <w:adjustRightInd w:val="0"/>
              <w:ind w:left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68" w:type="dxa"/>
            <w:hideMark/>
          </w:tcPr>
          <w:p w:rsidR="000F3C1B" w:rsidRPr="009054A1" w:rsidRDefault="000F3C1B" w:rsidP="00BC34F4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D-02.00.00</w:t>
            </w:r>
          </w:p>
        </w:tc>
        <w:tc>
          <w:tcPr>
            <w:tcW w:w="6959" w:type="dxa"/>
            <w:hideMark/>
          </w:tcPr>
          <w:p w:rsidR="000F3C1B" w:rsidRPr="009054A1" w:rsidRDefault="000F3C1B" w:rsidP="00BC34F4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ziemne</w:t>
            </w:r>
          </w:p>
        </w:tc>
      </w:tr>
      <w:tr w:rsidR="000F3C1B" w:rsidRPr="009054A1" w:rsidTr="000F3C1B">
        <w:tc>
          <w:tcPr>
            <w:tcW w:w="415" w:type="dxa"/>
            <w:hideMark/>
          </w:tcPr>
          <w:p w:rsidR="000F3C1B" w:rsidRPr="009054A1" w:rsidRDefault="000F3C1B" w:rsidP="00BC34F4">
            <w:pPr>
              <w:overflowPunct w:val="0"/>
              <w:adjustRightInd w:val="0"/>
              <w:ind w:left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8" w:type="dxa"/>
            <w:hideMark/>
          </w:tcPr>
          <w:p w:rsidR="000F3C1B" w:rsidRPr="009054A1" w:rsidRDefault="000F3C1B" w:rsidP="00BC34F4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59" w:type="dxa"/>
            <w:hideMark/>
          </w:tcPr>
          <w:p w:rsidR="000F3C1B" w:rsidRPr="009054A1" w:rsidRDefault="000F3C1B" w:rsidP="00BC34F4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3C1B" w:rsidRPr="009054A1" w:rsidTr="000F3C1B">
        <w:tc>
          <w:tcPr>
            <w:tcW w:w="415" w:type="dxa"/>
            <w:hideMark/>
          </w:tcPr>
          <w:p w:rsidR="000F3C1B" w:rsidRPr="009054A1" w:rsidRDefault="000F3C1B" w:rsidP="00BC34F4">
            <w:pPr>
              <w:overflowPunct w:val="0"/>
              <w:adjustRightInd w:val="0"/>
              <w:ind w:left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8" w:type="dxa"/>
            <w:hideMark/>
          </w:tcPr>
          <w:p w:rsidR="000F3C1B" w:rsidRPr="009054A1" w:rsidRDefault="000F3C1B" w:rsidP="00BC34F4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59" w:type="dxa"/>
            <w:hideMark/>
          </w:tcPr>
          <w:p w:rsidR="000F3C1B" w:rsidRPr="009054A1" w:rsidRDefault="000F3C1B" w:rsidP="00BC34F4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054A1" w:rsidRPr="009054A1" w:rsidTr="000F3C1B">
        <w:tc>
          <w:tcPr>
            <w:tcW w:w="415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68" w:type="dxa"/>
            <w:hideMark/>
          </w:tcPr>
          <w:p w:rsidR="009054A1" w:rsidRPr="009054A1" w:rsidRDefault="009054A1" w:rsidP="000F3C1B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</w:t>
            </w:r>
            <w:r w:rsidR="000F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.0</w:t>
            </w:r>
            <w:r w:rsidR="000F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.0</w:t>
            </w:r>
            <w:r w:rsidR="000F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1/01</w:t>
            </w:r>
          </w:p>
        </w:tc>
        <w:tc>
          <w:tcPr>
            <w:tcW w:w="6959" w:type="dxa"/>
            <w:hideMark/>
          </w:tcPr>
          <w:p w:rsidR="009054A1" w:rsidRPr="009054A1" w:rsidRDefault="000F3C1B" w:rsidP="009054A1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Warstwy podsypkowe</w:t>
            </w:r>
          </w:p>
        </w:tc>
      </w:tr>
      <w:tr w:rsidR="009054A1" w:rsidRPr="009054A1" w:rsidTr="000F3C1B">
        <w:tc>
          <w:tcPr>
            <w:tcW w:w="415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68" w:type="dxa"/>
            <w:hideMark/>
          </w:tcPr>
          <w:p w:rsidR="009054A1" w:rsidRPr="009054A1" w:rsidRDefault="009054A1" w:rsidP="000F3C1B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</w:t>
            </w:r>
            <w:r w:rsidR="000F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.0</w:t>
            </w:r>
            <w:r w:rsidR="000F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.0</w:t>
            </w:r>
            <w:r w:rsidR="000F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959" w:type="dxa"/>
            <w:hideMark/>
          </w:tcPr>
          <w:p w:rsidR="009054A1" w:rsidRPr="009054A1" w:rsidRDefault="000F3C1B" w:rsidP="009054A1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podbudowy z kruszyw łamanych stabilizowanych mechanicznie</w:t>
            </w:r>
          </w:p>
        </w:tc>
      </w:tr>
      <w:tr w:rsidR="009054A1" w:rsidRPr="009054A1" w:rsidTr="000F3C1B">
        <w:tc>
          <w:tcPr>
            <w:tcW w:w="415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68" w:type="dxa"/>
            <w:hideMark/>
          </w:tcPr>
          <w:p w:rsidR="009054A1" w:rsidRPr="009054A1" w:rsidRDefault="009054A1" w:rsidP="000F3C1B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</w:t>
            </w:r>
            <w:r w:rsidR="000F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.01.0</w:t>
            </w:r>
            <w:r w:rsidR="000F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59" w:type="dxa"/>
            <w:hideMark/>
          </w:tcPr>
          <w:p w:rsidR="009054A1" w:rsidRPr="009054A1" w:rsidRDefault="000F3C1B" w:rsidP="009054A1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Koryto wraz profilowaniem i zagęszczaniem podłoża</w:t>
            </w:r>
          </w:p>
        </w:tc>
      </w:tr>
    </w:tbl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10.2. Normy</w:t>
      </w:r>
    </w:p>
    <w:tbl>
      <w:tblPr>
        <w:tblW w:w="0" w:type="auto"/>
        <w:tblInd w:w="108" w:type="dxa"/>
        <w:tblLook w:val="01E0"/>
      </w:tblPr>
      <w:tblGrid>
        <w:gridCol w:w="422"/>
        <w:gridCol w:w="1793"/>
        <w:gridCol w:w="6965"/>
      </w:tblGrid>
      <w:tr w:rsidR="009054A1" w:rsidRPr="009054A1" w:rsidTr="009054A1">
        <w:tc>
          <w:tcPr>
            <w:tcW w:w="426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842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206-1:2003</w:t>
            </w:r>
          </w:p>
        </w:tc>
        <w:tc>
          <w:tcPr>
            <w:tcW w:w="7405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Beton – Część 1: Wymagania, właściwości, produkcja i zgodność (W okresie przejściowym można stosować PN-B-06250:1998 Beton zwykły)</w:t>
            </w:r>
          </w:p>
        </w:tc>
      </w:tr>
      <w:tr w:rsidR="009054A1" w:rsidRPr="009054A1" w:rsidTr="009054A1">
        <w:tc>
          <w:tcPr>
            <w:tcW w:w="426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842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13242:2004</w:t>
            </w:r>
          </w:p>
        </w:tc>
        <w:tc>
          <w:tcPr>
            <w:tcW w:w="7405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do niezwiązanych i związanych hydraulicznie materiałów stosowanych w obiektach budowlanych i budownictwie drogowym (W okresie przejściowym można stosować PN-B-11111:1996 Kruszywa mineralne. Kruszywa naturalne do nawierzchni drogowych. Żwir i mieszanka, PN-B-11112:1996 Kruszywa mineralne. Kruszywa łamane do nawierzchni drogowych, PN-B-11113:1996 Kruszywa mineralne. Kruszywa naturalne do nawierzchni drogowych. Piasek)</w:t>
            </w:r>
          </w:p>
        </w:tc>
      </w:tr>
      <w:tr w:rsidR="009054A1" w:rsidRPr="009054A1" w:rsidTr="009054A1">
        <w:tc>
          <w:tcPr>
            <w:tcW w:w="426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842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PN-B-06265:2004</w:t>
            </w:r>
          </w:p>
        </w:tc>
        <w:tc>
          <w:tcPr>
            <w:tcW w:w="7405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Krajowe uzupełnienie PN-EN 206-1:2003 - Beton – Część 1: Wymagania, właściwości, produkcja i zgodność</w:t>
            </w:r>
          </w:p>
        </w:tc>
      </w:tr>
    </w:tbl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keepNext/>
        <w:keepLines/>
        <w:suppressAutoHyphens/>
        <w:overflowPunct w:val="0"/>
        <w:adjustRightInd w:val="0"/>
        <w:spacing w:before="240" w:after="120"/>
        <w:ind w:left="0"/>
        <w:jc w:val="center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8" w:name="_Toc219531222"/>
      <w:r w:rsidRPr="009054A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11. ZAŁĄCZNIKI</w:t>
      </w:r>
      <w:bookmarkEnd w:id="88"/>
    </w:p>
    <w:p w:rsidR="009054A1" w:rsidRPr="009054A1" w:rsidRDefault="009054A1" w:rsidP="009054A1">
      <w:pPr>
        <w:overflowPunct w:val="0"/>
        <w:adjustRightInd w:val="0"/>
        <w:spacing w:after="120"/>
        <w:ind w:left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1</w:t>
      </w:r>
    </w:p>
    <w:p w:rsidR="009054A1" w:rsidRPr="009054A1" w:rsidRDefault="009054A1" w:rsidP="009054A1">
      <w:pPr>
        <w:overflowPunct w:val="0"/>
        <w:adjustRightInd w:val="0"/>
        <w:ind w:left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ZASADY  STOSOWANIA  NAWIERZCHNI  DROGOWYCH</w:t>
      </w:r>
    </w:p>
    <w:p w:rsidR="009054A1" w:rsidRPr="009054A1" w:rsidRDefault="009054A1" w:rsidP="009054A1">
      <w:pPr>
        <w:overflowPunct w:val="0"/>
        <w:adjustRightInd w:val="0"/>
        <w:ind w:left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  PREFABRYKOWANYCH  PŁYT  WIELKOWYMIAROWYCH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Rodzaje dróg z nawierzchniami z płyt wielkowymiarowych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Nawierzchnie z prefabrykowanych płyt wielkowymiarowych mogą być stosowane na drogach tymczasowych lub drogach stałych. Do dróg tymczasowych, rozbieranych po okresie użytkowania, zalicza się: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drogi w rejonach budów, poprawiające warunki przejazdu sprzętu budowlanego, transportu mas ziemnych lub materiałów budowlanych,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drogi dojazdowe, łączące drogi publiczne z placami budowy,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drogi montażowe, przewidywane w projektach organizacji placu budowy, do dowozu i montażu elementów konstrukcji, usytuowanych zwykle liniowo.</w:t>
      </w:r>
    </w:p>
    <w:p w:rsidR="009054A1" w:rsidRPr="009054A1" w:rsidRDefault="009054A1" w:rsidP="009054A1">
      <w:pPr>
        <w:overflowPunct w:val="0"/>
        <w:adjustRightInd w:val="0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Do nawierzchni dróg stałych (lub budowanych na dłuższe okresy) można zaliczyć: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nawierzchnie wewnątrzzakładowe dróg i ulic na terenie zakładów przemysłowych,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nawierzchnie ulic w mniejszych osiedlach i miastach,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nawierzchnie na nie wydzielonych torowiskach tramwajowych w dużych miastach,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nawierzchnie placów, parkingów i innych powierzchni przeznaczonych do ruchu pojazdów.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 Zalecenia stosowania płyt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 drogach tymczasowych stosuje się zwykle system pasowy układania płyt (rys. 2a, b, rys. 4), a na drogach stałych – system płatowy (rys. 2c, d, rys. 3).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Płyty wielootworowe (jakimi są tzw. płyty IOMB) są bardziej korzystne na drogach tymczasowych, na których przeważa ruch dużych pojazdów budowlanych (nie są one wygodne dla samochodów osobowych). Otwory w płytach mają na celu zmniejszenie masy płyty i lepsze związanie płyty z podłożem.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 nawierzchniach zaleca się wykonywać pochylenie poprzeczne dróg i ulic około 2%, a placów do 3%. Pochylenie podłużne dróg może wynosić do 12% (dla płyt wielootworowych).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Uzasadnieniem budowy nawierzchni z płyt może być miejscowy deficyt odpowiedniego gruntu mineralnego do wykonania górnej warstwy podłoża (nasypu) oraz deficyt materiału na warstwy odsączające i mrozoochronne.</w:t>
      </w:r>
    </w:p>
    <w:p w:rsidR="009054A1" w:rsidRPr="009054A1" w:rsidRDefault="009054A1" w:rsidP="009054A1">
      <w:pPr>
        <w:keepNext/>
        <w:overflowPunct w:val="0"/>
        <w:adjustRightInd w:val="0"/>
        <w:spacing w:before="120" w:after="120"/>
        <w:ind w:left="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1.3. Zalety i wady nawierzchni z płyt wielkowymiarowych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zalet stosowania płyt wielkowymiarowych należą: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szybkość i łatwość montażu nawierzchni, szczególnie na prostych, pozbawionych łuków odcinkach dróg,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duża mechanizacja robót z wykorzystaniem żurawi samochodowych i eliminacją specjalistycznych maszyn drogowych,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możliwość montażu nawierzchni w złych warunkach atmosferycznych,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znaczna wytrzymałość konstrukcji jezdni z dużą odpornością na mrozy,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ograniczenie nasypów i podbudowy przy budowie drogi,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łatwość utrzymania nawierzchni, nie wymagającej praktycznie konserwacji i łatwość incydentalnych napraw,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ponowne wykorzystanie płyt nawierzchniowych, po rozbiórce drogi tymczasowej.</w:t>
      </w:r>
    </w:p>
    <w:p w:rsidR="009054A1" w:rsidRPr="009054A1" w:rsidRDefault="009054A1" w:rsidP="009054A1">
      <w:pPr>
        <w:overflowPunct w:val="0"/>
        <w:adjustRightInd w:val="0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Do wad stosowania płyt wielkowymiarowych należą: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stosunkowo wysoki koszt nabycia i transportu płyt,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użycie żurawi do napraw,</w:t>
      </w:r>
    </w:p>
    <w:p w:rsidR="009054A1" w:rsidRPr="009054A1" w:rsidRDefault="009054A1" w:rsidP="009054A1">
      <w:pPr>
        <w:tabs>
          <w:tab w:val="num" w:pos="397"/>
        </w:tabs>
        <w:overflowPunct w:val="0"/>
        <w:adjustRightInd w:val="0"/>
        <w:ind w:left="397" w:hanging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9054A1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 </w:t>
      </w: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ograniczenie prędkości ruchu na nawierzchniach z płyt prefabrykowanych do około 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30 km/h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30 km/h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spacing w:after="120"/>
        <w:ind w:left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2</w:t>
      </w:r>
    </w:p>
    <w:p w:rsidR="009054A1" w:rsidRPr="009054A1" w:rsidRDefault="009054A1" w:rsidP="009054A1">
      <w:pPr>
        <w:overflowPunct w:val="0"/>
        <w:adjustRightInd w:val="0"/>
        <w:spacing w:after="120"/>
        <w:ind w:left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RYSUNKI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Rys. 1. Przykłady płyt żelbetowych wielootworowych</w:t>
      </w:r>
    </w:p>
    <w:p w:rsidR="009054A1" w:rsidRPr="009054A1" w:rsidRDefault="009054A1" w:rsidP="009054A1">
      <w:pPr>
        <w:overflowPunct w:val="0"/>
        <w:adjustRightInd w:val="0"/>
        <w:spacing w:after="120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Płyta 1,0 × 0,75 ×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0,125 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0,125 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otworami prostokątnymi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4305300" cy="3543300"/>
            <wp:effectExtent l="19050" t="0" r="0" b="0"/>
            <wp:docPr id="2" name="Obraz 2" descr="iomb1a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iomb1ako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spacing w:after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b) Płyta 1,0 × 0,75 ×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0,125 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0,125 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otworami owalnymi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4679950" cy="2286000"/>
            <wp:effectExtent l="19050" t="0" r="6350" b="0"/>
            <wp:docPr id="3" name="Obraz 3" descr="iomb1b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iomb1bko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4A1" w:rsidRPr="009054A1" w:rsidRDefault="009054A1" w:rsidP="009054A1">
      <w:pPr>
        <w:overflowPunct w:val="0"/>
        <w:adjustRightInd w:val="0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spacing w:after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c) Płyta 1,0 × 0,75 ×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0,125 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0,125 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otworami okrągłymi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4667250" cy="3314700"/>
            <wp:effectExtent l="19050" t="0" r="0" b="0"/>
            <wp:docPr id="4" name="Obraz 4" descr="iomb1c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iomb1cko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spacing w:after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d) Płyta 0,75 × 0,50 ×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0,10 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0,10 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otworami okrągłymi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4679950" cy="2584450"/>
            <wp:effectExtent l="19050" t="0" r="6350" b="0"/>
            <wp:docPr id="5" name="Obraz 5" descr="iomb1d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iomb1dkor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0" cy="258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spacing w:after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e) Płyta 0,75 × 0,50 ×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0,07 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0,07 m</w:t>
        </w:r>
      </w:smartTag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otworami kwadratowymi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4679950" cy="2736850"/>
            <wp:effectExtent l="19050" t="0" r="6350" b="0"/>
            <wp:docPr id="6" name="Obraz 6" descr="iomb1e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iomb1ekor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0" cy="273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Rys. 2. Przykłady ułożenia płyt na jezdni jednopasowej</w:t>
      </w: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Look w:val="04A0"/>
      </w:tblPr>
      <w:tblGrid>
        <w:gridCol w:w="4776"/>
        <w:gridCol w:w="4512"/>
      </w:tblGrid>
      <w:tr w:rsidR="009054A1" w:rsidRPr="009054A1" w:rsidTr="009054A1">
        <w:tc>
          <w:tcPr>
            <w:tcW w:w="4962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a) System pasowy – wariant 1</w:t>
            </w:r>
          </w:p>
        </w:tc>
        <w:tc>
          <w:tcPr>
            <w:tcW w:w="4677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b) System pasowy – wariant 2</w:t>
            </w:r>
          </w:p>
        </w:tc>
      </w:tr>
      <w:tr w:rsidR="009054A1" w:rsidRPr="009054A1" w:rsidTr="009054A1">
        <w:tc>
          <w:tcPr>
            <w:tcW w:w="4962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12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2590800" cy="1555750"/>
                  <wp:effectExtent l="19050" t="0" r="0" b="0"/>
                  <wp:docPr id="7" name="Obraz 7" descr="iomb2ak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 descr="iomb2ak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55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12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2457450" cy="1555750"/>
                  <wp:effectExtent l="19050" t="0" r="0" b="0"/>
                  <wp:docPr id="8" name="Obraz 8" descr="iomb2bk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 descr="iomb2bk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55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Look w:val="04A0"/>
      </w:tblPr>
      <w:tblGrid>
        <w:gridCol w:w="4733"/>
        <w:gridCol w:w="4555"/>
      </w:tblGrid>
      <w:tr w:rsidR="009054A1" w:rsidRPr="009054A1" w:rsidTr="009054A1">
        <w:tc>
          <w:tcPr>
            <w:tcW w:w="4962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c)   System płatowy nawierzchni szerokości </w:t>
            </w:r>
            <w:smartTag w:uri="urn:schemas-microsoft-com:office:smarttags" w:element="metricconverter">
              <w:smartTagPr>
                <w:attr w:name="style" w:val="BACKGROUND-IMAGE: url(res://ietag.dll/#34/#1001); BACKGROUND-REPEAT: repeat-x; BACKGROUND-POSITION: left bottom"/>
                <w:attr w:name="tabIndex" w:val="0"/>
                <w:attr w:name="ProductID" w:val="3 m"/>
              </w:smartTagPr>
              <w:r w:rsidRPr="009054A1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3 m</w:t>
              </w:r>
            </w:smartTag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wariant 1 (płyty prostopadłe do osi drogi)</w:t>
            </w:r>
          </w:p>
        </w:tc>
        <w:tc>
          <w:tcPr>
            <w:tcW w:w="4677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356" w:hanging="3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d)   System płatowy nawierzchni szerokości </w:t>
            </w:r>
            <w:smartTag w:uri="urn:schemas-microsoft-com:office:smarttags" w:element="metricconverter">
              <w:smartTagPr>
                <w:attr w:name="style" w:val="BACKGROUND-IMAGE: url(res://ietag.dll/#34/#1001); BACKGROUND-REPEAT: repeat-x; BACKGROUND-POSITION: left bottom"/>
                <w:attr w:name="tabIndex" w:val="0"/>
                <w:attr w:name="ProductID" w:val="3 m"/>
              </w:smartTagPr>
              <w:r w:rsidRPr="009054A1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3 m</w:t>
              </w:r>
            </w:smartTag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wariant 2 (płyty równoległe do osi drogi)</w:t>
            </w:r>
          </w:p>
        </w:tc>
      </w:tr>
      <w:tr w:rsidR="009054A1" w:rsidRPr="009054A1" w:rsidTr="009054A1">
        <w:tc>
          <w:tcPr>
            <w:tcW w:w="4962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12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2895600" cy="1371600"/>
                  <wp:effectExtent l="19050" t="0" r="0" b="0"/>
                  <wp:docPr id="9" name="Obraz 9" descr="iomb2ck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iomb2ck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12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2781300" cy="1352550"/>
                  <wp:effectExtent l="19050" t="0" r="0" b="0"/>
                  <wp:docPr id="10" name="Obraz 10" descr="iomb2dk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 descr="iomb2dk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ind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Rys. 3. Przykład ułożenia płyt według systemu płatowego na jezdni dwupasowej szerokości </w:t>
      </w:r>
      <w:smartTag w:uri="urn:schemas-microsoft-com:office:smarttags" w:element="metricconverter">
        <w:smartTagPr>
          <w:attr w:name="style" w:val="BACKGROUND-IMAGE: url(res://ietag.dll/#34/#1001); BACKGROUND-REPEAT: repeat-x; BACKGROUND-POSITION: left bottom"/>
          <w:attr w:name="tabIndex" w:val="0"/>
          <w:attr w:name="ProductID" w:val="5 m"/>
        </w:smartTagPr>
        <w:r w:rsidRPr="009054A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m</w:t>
        </w:r>
      </w:smartTag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Look w:val="04A0"/>
      </w:tblPr>
      <w:tblGrid>
        <w:gridCol w:w="4767"/>
        <w:gridCol w:w="4521"/>
      </w:tblGrid>
      <w:tr w:rsidR="009054A1" w:rsidRPr="009054A1" w:rsidTr="009054A1">
        <w:tc>
          <w:tcPr>
            <w:tcW w:w="4962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a) Wariant 1</w:t>
            </w:r>
          </w:p>
          <w:p w:rsidR="009054A1" w:rsidRPr="009054A1" w:rsidRDefault="009054A1" w:rsidP="009054A1">
            <w:pPr>
              <w:overflowPunct w:val="0"/>
              <w:adjustRightInd w:val="0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(płyty prostopadłe do osi drogi)</w:t>
            </w:r>
          </w:p>
        </w:tc>
        <w:tc>
          <w:tcPr>
            <w:tcW w:w="4677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b) Wariant 2</w:t>
            </w:r>
          </w:p>
          <w:p w:rsidR="009054A1" w:rsidRPr="009054A1" w:rsidRDefault="009054A1" w:rsidP="009054A1">
            <w:pPr>
              <w:overflowPunct w:val="0"/>
              <w:adjustRightInd w:val="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54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(płyty równoległe i prostopadłe do osi drogi)</w:t>
            </w:r>
          </w:p>
        </w:tc>
      </w:tr>
      <w:tr w:rsidR="009054A1" w:rsidRPr="009054A1" w:rsidTr="009054A1">
        <w:tc>
          <w:tcPr>
            <w:tcW w:w="4962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3022600" cy="2082800"/>
                  <wp:effectExtent l="19050" t="0" r="6350" b="0"/>
                  <wp:docPr id="11" name="Obraz 11" descr="iomb3ak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1" descr="iomb3ak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0" cy="2082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hideMark/>
          </w:tcPr>
          <w:p w:rsidR="009054A1" w:rsidRPr="009054A1" w:rsidRDefault="009054A1" w:rsidP="009054A1">
            <w:pPr>
              <w:overflowPunct w:val="0"/>
              <w:adjustRightInd w:val="0"/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2863850" cy="2076450"/>
                  <wp:effectExtent l="19050" t="0" r="0" b="0"/>
                  <wp:docPr id="12" name="Obraz 12" descr="iomb3bk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" descr="iomb3bk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0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Rys. 4. Przekroje poprzeczne dróg z nawierzchniami z płyt, ułożonymi w systemie pasowym</w:t>
      </w:r>
    </w:p>
    <w:p w:rsidR="009054A1" w:rsidRPr="009054A1" w:rsidRDefault="009054A1" w:rsidP="009054A1">
      <w:pPr>
        <w:overflowPunct w:val="0"/>
        <w:adjustRightInd w:val="0"/>
        <w:spacing w:after="120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a) Jezdnia jednopasowa,  b) Jezdnia dwupasowa</w:t>
      </w:r>
    </w:p>
    <w:p w:rsidR="009054A1" w:rsidRPr="009054A1" w:rsidRDefault="009054A1" w:rsidP="009054A1">
      <w:pPr>
        <w:overflowPunct w:val="0"/>
        <w:adjustRightInd w:val="0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4432300" cy="1943100"/>
            <wp:effectExtent l="19050" t="0" r="6350" b="0"/>
            <wp:docPr id="13" name="Obraz 13" descr="iomb4ab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 descr="iomb4abkor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4A1" w:rsidRPr="009054A1" w:rsidRDefault="009054A1" w:rsidP="009054A1">
      <w:pPr>
        <w:overflowPunct w:val="0"/>
        <w:adjustRightInd w:val="0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54A1" w:rsidRPr="009054A1" w:rsidRDefault="009054A1" w:rsidP="009054A1">
      <w:pPr>
        <w:overflowPunct w:val="0"/>
        <w:adjustRightInd w:val="0"/>
        <w:spacing w:after="120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54A1">
        <w:rPr>
          <w:rFonts w:ascii="Times New Roman" w:eastAsia="Times New Roman" w:hAnsi="Times New Roman" w:cs="Times New Roman"/>
          <w:sz w:val="20"/>
          <w:szCs w:val="20"/>
          <w:lang w:eastAsia="pl-PL"/>
        </w:rPr>
        <w:t>Rys. 5. Układanie płyt na łuku o małym promieniu</w:t>
      </w:r>
    </w:p>
    <w:p w:rsidR="009054A1" w:rsidRPr="009054A1" w:rsidRDefault="009054A1" w:rsidP="009054A1">
      <w:pPr>
        <w:overflowPunct w:val="0"/>
        <w:adjustRightInd w:val="0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4432300" cy="2705100"/>
            <wp:effectExtent l="19050" t="0" r="6350" b="0"/>
            <wp:docPr id="14" name="Obraz 14" descr="iomb5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4" descr="iomb5kor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86B" w:rsidRDefault="00E5486B"/>
    <w:sectPr w:rsidR="00E5486B" w:rsidSect="00B92216">
      <w:headerReference w:type="default" r:id="rId19"/>
      <w:pgSz w:w="11906" w:h="16838"/>
      <w:pgMar w:top="817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844" w:rsidRDefault="00CD2844" w:rsidP="00B92216">
      <w:r>
        <w:separator/>
      </w:r>
    </w:p>
  </w:endnote>
  <w:endnote w:type="continuationSeparator" w:id="1">
    <w:p w:rsidR="00CD2844" w:rsidRDefault="00CD2844" w:rsidP="00B92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844" w:rsidRDefault="00CD2844" w:rsidP="00B92216">
      <w:r>
        <w:separator/>
      </w:r>
    </w:p>
  </w:footnote>
  <w:footnote w:type="continuationSeparator" w:id="1">
    <w:p w:rsidR="00CD2844" w:rsidRDefault="00CD2844" w:rsidP="00B922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26954"/>
      <w:docPartObj>
        <w:docPartGallery w:val="Page Numbers (Top of Page)"/>
        <w:docPartUnique/>
      </w:docPartObj>
    </w:sdtPr>
    <w:sdtContent>
      <w:p w:rsidR="00B92216" w:rsidRDefault="00B92216">
        <w:pPr>
          <w:pStyle w:val="Nagwek"/>
          <w:jc w:val="right"/>
        </w:pPr>
        <w:fldSimple w:instr=" PAGE   \* MERGEFORMAT ">
          <w:r w:rsidR="0079122A">
            <w:rPr>
              <w:noProof/>
            </w:rPr>
            <w:t>7</w:t>
          </w:r>
        </w:fldSimple>
      </w:p>
    </w:sdtContent>
  </w:sdt>
  <w:p w:rsidR="00B92216" w:rsidRDefault="00B9221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54A1"/>
    <w:rsid w:val="000F3C1B"/>
    <w:rsid w:val="0025423D"/>
    <w:rsid w:val="0040772E"/>
    <w:rsid w:val="0079122A"/>
    <w:rsid w:val="009054A1"/>
    <w:rsid w:val="00AF5FFE"/>
    <w:rsid w:val="00B92216"/>
    <w:rsid w:val="00C33484"/>
    <w:rsid w:val="00CD2844"/>
    <w:rsid w:val="00E5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86B"/>
  </w:style>
  <w:style w:type="paragraph" w:styleId="Nagwek1">
    <w:name w:val="heading 1"/>
    <w:basedOn w:val="Normalny"/>
    <w:next w:val="Normalny"/>
    <w:link w:val="Nagwek1Znak"/>
    <w:uiPriority w:val="9"/>
    <w:qFormat/>
    <w:rsid w:val="009054A1"/>
    <w:pPr>
      <w:keepNext/>
      <w:keepLines/>
      <w:suppressAutoHyphens/>
      <w:overflowPunct w:val="0"/>
      <w:adjustRightInd w:val="0"/>
      <w:spacing w:before="240" w:after="120"/>
      <w:ind w:left="0"/>
      <w:jc w:val="both"/>
      <w:outlineLvl w:val="0"/>
    </w:pPr>
    <w:rPr>
      <w:rFonts w:ascii="Times New Roman" w:eastAsiaTheme="minorEastAsia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054A1"/>
    <w:pPr>
      <w:keepNext/>
      <w:overflowPunct w:val="0"/>
      <w:adjustRightInd w:val="0"/>
      <w:spacing w:before="120" w:after="120"/>
      <w:ind w:left="0"/>
      <w:jc w:val="both"/>
      <w:outlineLvl w:val="1"/>
    </w:pPr>
    <w:rPr>
      <w:rFonts w:ascii="Times New Roman" w:eastAsiaTheme="minorEastAsia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54A1"/>
    <w:rPr>
      <w:rFonts w:ascii="Times New Roman" w:eastAsiaTheme="minorEastAsia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054A1"/>
    <w:rPr>
      <w:rFonts w:ascii="Times New Roman" w:eastAsiaTheme="minorEastAsia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054A1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9054A1"/>
    <w:pPr>
      <w:tabs>
        <w:tab w:val="right" w:leader="dot" w:pos="7371"/>
      </w:tabs>
      <w:overflowPunct w:val="0"/>
      <w:adjustRightInd w:val="0"/>
      <w:spacing w:before="120" w:after="120"/>
      <w:ind w:left="0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customStyle="1" w:styleId="StylIwony">
    <w:name w:val="Styl Iwony"/>
    <w:basedOn w:val="Normalny"/>
    <w:rsid w:val="009054A1"/>
    <w:pPr>
      <w:overflowPunct w:val="0"/>
      <w:adjustRightInd w:val="0"/>
      <w:spacing w:before="120" w:after="120"/>
      <w:ind w:left="0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Standardowytekst">
    <w:name w:val="Standardowy.tekst"/>
    <w:rsid w:val="009054A1"/>
    <w:pPr>
      <w:overflowPunct w:val="0"/>
      <w:adjustRightInd w:val="0"/>
      <w:ind w:left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4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4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22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216"/>
  </w:style>
  <w:style w:type="paragraph" w:styleId="Stopka">
    <w:name w:val="footer"/>
    <w:basedOn w:val="Normalny"/>
    <w:link w:val="StopkaZnak"/>
    <w:uiPriority w:val="99"/>
    <w:semiHidden/>
    <w:unhideWhenUsed/>
    <w:rsid w:val="00B922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92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4018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" w:color="auto"/>
            <w:right w:val="none" w:sz="0" w:space="0" w:color="auto"/>
          </w:divBdr>
        </w:div>
        <w:div w:id="1070084103">
          <w:marLeft w:val="0"/>
          <w:marRight w:val="0"/>
          <w:marTop w:val="0"/>
          <w:marBottom w:val="0"/>
          <w:divBdr>
            <w:top w:val="single" w:sz="6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3595</Words>
  <Characters>21576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5</cp:revision>
  <dcterms:created xsi:type="dcterms:W3CDTF">2015-07-02T08:08:00Z</dcterms:created>
  <dcterms:modified xsi:type="dcterms:W3CDTF">2015-07-02T08:48:00Z</dcterms:modified>
</cp:coreProperties>
</file>